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7C34F" w14:textId="77777777" w:rsidR="00995FB0" w:rsidRDefault="00995FB0" w:rsidP="00995FB0">
      <w:pPr>
        <w:spacing w:after="0" w:line="288" w:lineRule="atLeast"/>
        <w:jc w:val="both"/>
        <w:rPr>
          <w:rFonts w:ascii="Times New Roman" w:eastAsia="Times New Roman" w:hAnsi="Times New Roman" w:cs="Times New Roman"/>
          <w:b/>
          <w:bCs/>
          <w:sz w:val="24"/>
          <w:szCs w:val="24"/>
          <w:lang w:eastAsia="ru-RU"/>
        </w:rPr>
      </w:pPr>
      <w:bookmarkStart w:id="0" w:name="_GoBack"/>
      <w:bookmarkEnd w:id="0"/>
    </w:p>
    <w:p w14:paraId="51DE62BF" w14:textId="37D46F4B"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С 1 апреля 2025 года ограничения на перевод средств за рубеж продлеваются еще на полгода - до 30 сентября 2025 года включительно</w:t>
      </w:r>
      <w:r w:rsidRPr="00995FB0">
        <w:rPr>
          <w:rFonts w:ascii="Times New Roman" w:eastAsia="Times New Roman" w:hAnsi="Times New Roman" w:cs="Times New Roman"/>
          <w:sz w:val="24"/>
          <w:szCs w:val="24"/>
          <w:lang w:eastAsia="ru-RU"/>
        </w:rPr>
        <w:t xml:space="preserve"> </w:t>
      </w:r>
    </w:p>
    <w:p w14:paraId="5B7F2AD4"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0FF8584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Граждане России и физлица-нерезиденты из дружественных стран по-прежнему смогут в течение месяца перевести на любые счета в зарубежных банках не более 1 млн долларов США или эквивалент в другой иностранной валюте. </w:t>
      </w:r>
    </w:p>
    <w:p w14:paraId="455FAD3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Сохраняются лимиты на перечисления через системы денежных переводов - за месяц не более 10 тыс. долларов США или эквивалент в другой иностранной валюте. </w:t>
      </w:r>
    </w:p>
    <w:p w14:paraId="0285799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что физлица-нерезиденты, которые работают в России, могут перевести за рубеж средства в размере заработной платы. Это право есть у представителей как дружественных, так и недружественных стран. </w:t>
      </w:r>
    </w:p>
    <w:p w14:paraId="1707D8C2" w14:textId="6EF197D4"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Подписан новый закон о системе местного самоуправления в РФ</w:t>
      </w:r>
      <w:r w:rsidRPr="00995FB0">
        <w:rPr>
          <w:rFonts w:ascii="Times New Roman" w:eastAsia="Times New Roman" w:hAnsi="Times New Roman" w:cs="Times New Roman"/>
          <w:sz w:val="24"/>
          <w:szCs w:val="24"/>
          <w:lang w:eastAsia="ru-RU"/>
        </w:rPr>
        <w:t xml:space="preserve"> </w:t>
      </w:r>
    </w:p>
    <w:p w14:paraId="231338D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6BDD9C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закон уточняет понятие местного самоуправления, определяя его как признаваемую и гарантированную Конституцией РФ форму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 пределах предусмотренных полномочий. </w:t>
      </w:r>
    </w:p>
    <w:p w14:paraId="4C59BA4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Закреплена одноуровневая система организации местного самоуправления и установлены следующие виды муниципальных образований, в которых оно осуществляется: городской округ; муниципальный округ; внутригородское муниципальное образование города федерального значения. Субъекты РФ, имеющие социально-экономические, исторические и иные особенности, могут сохранить двухуровневую систему организации местного самоуправления (поселения (сельские и городские) и муниципальные районы). </w:t>
      </w:r>
    </w:p>
    <w:p w14:paraId="294B4A9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Установлены полномочия органов местного самоуправления по решению вопросов непосредственного обеспечения жизнедеятельности населения, не подлежащие перераспределению между органами местного самоуправления и органами государственной власти субъекта РФ (принятие устава муниципального образования, утверждение и исполнение местного бюджета, установление, введение в действие и прекращение действия ранее введенных местных налогов и сборов и пр.), полномочия, которые могут быть перераспределены законом субъекта РФ для осуществления органами государственной власти субъекта РФ (организация в границах муниципального образования электро-, тепло-, газо- и водоснабжения населения, обеспечение проживающих в муниципальном образовании и нуждающихся в жилых помещениях малоимущих граждан жилыми помещениями, организация предоставления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и пр.), а также полномочия, которые могут быть перераспределены законом субъекта РФ для осуществления органами местного самоуправления (дорожная деятельность, организация транспортного обслуживания населения в границах муниципального образования, осуществление мероприятий по лесоустройству, осуществление мероприятий по обеспечению безопасности людей на водных объектах, организация и осуществление мероприятий по территориальной обороне и гражданской обороне и пр.). </w:t>
      </w:r>
    </w:p>
    <w:p w14:paraId="48789FA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закреплен единый пятилетний срок полномочий лиц, замещающих муниципальные должности. </w:t>
      </w:r>
    </w:p>
    <w:p w14:paraId="569190A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Федеральный закон вступает в силу по истечении девяноста дней после дня его официального опубликования, за исключением его отдельных положений. </w:t>
      </w:r>
    </w:p>
    <w:p w14:paraId="5FA46455" w14:textId="7BE353FC"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40A9EAB8" w14:textId="490A1200"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полномочий, осуществляемых Минобороны России</w:t>
      </w:r>
      <w:r w:rsidRPr="00995FB0">
        <w:rPr>
          <w:rFonts w:ascii="Times New Roman" w:eastAsia="Times New Roman" w:hAnsi="Times New Roman" w:cs="Times New Roman"/>
          <w:sz w:val="24"/>
          <w:szCs w:val="24"/>
          <w:lang w:eastAsia="ru-RU"/>
        </w:rPr>
        <w:t xml:space="preserve"> </w:t>
      </w:r>
    </w:p>
    <w:p w14:paraId="519E7D85"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6FBA7A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Министерство, в числе прочего, определяет порядок боевого применения и обеспечения безопасности применения в Российской Федерации системы и средств государственного радиолокационного опознавания. </w:t>
      </w:r>
    </w:p>
    <w:p w14:paraId="6F5AB07D"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531A5EC" w14:textId="57B7AF85"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Находящиеся в РФ граждане Украины, не имеющие законных оснований для пребывания (проживания) в РФ, обязаны самостоятельно выехать из нее либо до 10 сентября 2025 г. включительно урегулировать свое правовое положение в РФ</w:t>
      </w:r>
      <w:r w:rsidRPr="00995FB0">
        <w:rPr>
          <w:rFonts w:ascii="Times New Roman" w:eastAsia="Times New Roman" w:hAnsi="Times New Roman" w:cs="Times New Roman"/>
          <w:sz w:val="24"/>
          <w:szCs w:val="24"/>
          <w:lang w:eastAsia="ru-RU"/>
        </w:rPr>
        <w:t xml:space="preserve"> </w:t>
      </w:r>
    </w:p>
    <w:p w14:paraId="5CB7019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05CFBB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иностранные граждане и лица без гражданства, которые прибыли до дня вступления в силу настоящего Указа на территории ДНР, ЛНР, Запорожской и Херсонской областей в целях, не связанных с осуществлением трудовой деятельности, на срок, превышающий 90 календарных дней, либо в целях осуществления трудовой деятельности и не прошли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заболевания, вызываемого вирусом иммунодефицита человека (ВИЧ-инфекции), обязаны до 10 июня 2025 г. включительно пройти медицинское освидетельствование и представить в территориальный орган МВД России медицинские документы, подтверждающие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отсутствие названных инфекционных заболеваний, и сертификат об отсутствии заболевания, вызываемого вирусом иммунодефицита человека (ВИЧ-инфекции). </w:t>
      </w:r>
    </w:p>
    <w:p w14:paraId="7A310A05"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465A55A8" w14:textId="1EFF4D06"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КС РФ: руководитель регионального отделения политической партии, избранный в установленном порядке, вправе подписать документы о выдвижении списка кандидатов на выборах до внесения в ЕГРЮЛ сведений о нем как о лице, имеющем право без доверенности действовать от имени юрлица</w:t>
      </w:r>
      <w:r w:rsidRPr="00995FB0">
        <w:rPr>
          <w:rFonts w:ascii="Times New Roman" w:eastAsia="Times New Roman" w:hAnsi="Times New Roman" w:cs="Times New Roman"/>
          <w:sz w:val="24"/>
          <w:szCs w:val="24"/>
          <w:lang w:eastAsia="ru-RU"/>
        </w:rPr>
        <w:t xml:space="preserve"> </w:t>
      </w:r>
    </w:p>
    <w:p w14:paraId="1294E0FB"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995FB0" w:rsidRPr="00995FB0" w14:paraId="699C2860" w14:textId="77777777" w:rsidTr="00995FB0">
        <w:tc>
          <w:tcPr>
            <w:tcW w:w="180" w:type="dxa"/>
            <w:tcMar>
              <w:top w:w="0" w:type="dxa"/>
              <w:left w:w="0" w:type="dxa"/>
              <w:bottom w:w="0" w:type="dxa"/>
              <w:right w:w="150" w:type="dxa"/>
            </w:tcMar>
            <w:hideMark/>
          </w:tcPr>
          <w:p w14:paraId="7487B394"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noProof/>
              </w:rPr>
              <w:drawing>
                <wp:inline distT="0" distB="0" distL="0" distR="0" wp14:anchorId="15CE9CFF" wp14:editId="32699A9C">
                  <wp:extent cx="114300" cy="142875"/>
                  <wp:effectExtent l="0" t="0" r="0" b="9525"/>
                  <wp:docPr id="304" name="Рисунок 304" descr="C:\Users\Neshchetnaia.A.V\AppData\Local\Microsoft\Windows\INetCache\Content.MSO\949C5E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C:\Users\Neshchetnaia.A.V\AppData\Local\Microsoft\Windows\INetCache\Content.MSO\949C5E09.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5013007" w14:textId="77777777" w:rsidR="00995FB0" w:rsidRPr="00995FB0" w:rsidRDefault="00995FB0" w:rsidP="00995FB0">
            <w:pPr>
              <w:spacing w:after="0" w:line="288" w:lineRule="atLeast"/>
              <w:rPr>
                <w:rFonts w:ascii="Times New Roman" w:eastAsia="Times New Roman" w:hAnsi="Times New Roman" w:cs="Times New Roman"/>
                <w:sz w:val="21"/>
                <w:szCs w:val="21"/>
                <w:lang w:eastAsia="ru-RU"/>
              </w:rPr>
            </w:pPr>
            <w:r w:rsidRPr="00995FB0">
              <w:rPr>
                <w:rFonts w:ascii="Times New Roman" w:eastAsia="Times New Roman" w:hAnsi="Times New Roman" w:cs="Times New Roman"/>
                <w:sz w:val="21"/>
                <w:szCs w:val="21"/>
                <w:lang w:eastAsia="ru-RU"/>
              </w:rPr>
              <w:t>Постановление Конституционного Суда РФ от 18.03.2025 N 12-П</w:t>
            </w:r>
            <w:r w:rsidRPr="00995FB0">
              <w:rPr>
                <w:rFonts w:ascii="Times New Roman" w:eastAsia="Times New Roman" w:hAnsi="Times New Roman" w:cs="Times New Roman"/>
                <w:sz w:val="21"/>
                <w:szCs w:val="21"/>
                <w:lang w:eastAsia="ru-RU"/>
              </w:rPr>
              <w:br/>
              <w:t xml:space="preserve">"По делу о проверке конституционности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в связи с жалобой Псковского регионального отделения политической партии "Российская объединенная демократическая партия "ЯБЛОКО" </w:t>
            </w:r>
          </w:p>
        </w:tc>
      </w:tr>
    </w:tbl>
    <w:p w14:paraId="26C5CEA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Выявлен конституционно-правовой смысл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w:t>
      </w:r>
      <w:r w:rsidRPr="00995FB0">
        <w:rPr>
          <w:rFonts w:ascii="Times New Roman" w:eastAsia="Times New Roman" w:hAnsi="Times New Roman" w:cs="Times New Roman"/>
          <w:sz w:val="24"/>
          <w:szCs w:val="24"/>
          <w:lang w:eastAsia="ru-RU"/>
        </w:rPr>
        <w:lastRenderedPageBreak/>
        <w:t xml:space="preserve">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w:t>
      </w:r>
    </w:p>
    <w:p w14:paraId="0D96C0F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Конституционным Судом отмечено, в частности, следующее: несмотря на то что государственная регистрация в качестве юридического лица является обязательным условием законного существования регионального отделения политической партии, это не может свидетельствовать о распространении на него юридических последствий такой регистрации (актуализации сведений о нем) в публично-правовой сфере, в том числе в правоотношениях, в которых оно выступает в качестве избирательного объединения. Правовое регулирование государственной регистрации юридических лиц рассчитано в основном на применение в отношении лиц, действующих в области имущественных отношений гражданско-правового характера. Этот признак не имеет такого же определяющего значения для юридических лиц - региональных отделений политических партий, которые осуществляют экономическую деятельность лишь постольку, поскольку это отвечает достижению целей, ради которых они создаются. </w:t>
      </w:r>
    </w:p>
    <w:p w14:paraId="6B751F0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Особенности как самих политических партий, так и их региональных отделений, признанных законом избирательными объединениями, позволяющие отграничить их от юридических лиц иных видов, обусловливают необходимость истолкования оспариваемых норм преимущественно в контексте федеральных законов "О политических партиях" и "Об основных гарантиях избирательных прав и права на участие в референдуме граждан Российской Федерации". Таким образом, на структурные подразделения политических партий, не зарегистрированные в ЕГРЮЛ, но имеющие в соответствии с федеральным законом право участвовать в выборах, при уведомлении соответствующей избирательной комиссии о выдвижении ими кандидатов, списков кандидатов действие оспариваемых законоположений автоматически не распространяется. </w:t>
      </w:r>
    </w:p>
    <w:p w14:paraId="0733B62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Конституционный Суд пришел к выводу, что оспариваемые законоположения не могут быть истолкованы как отождествляющие электоральные возможности регионального отделения политической партии с правами и обязанностями, вытекающими из статуса юридического лица. Они не противоречат Конституции РФ в той мере, в какой не препятствуют избранному в установленном порядке руководителю регионального отделения политической партии, обладающего статусом избирательного объединения, подписывать (заверять) представляемые в соответствующие избирательные комиссии документы, связанные с выдвижением списков кандидатов на выборах, до внесения в ЕГРЮЛ сведений о нем как о лице, имеющем право без доверенности действовать от имени юридического лица. </w:t>
      </w:r>
    </w:p>
    <w:p w14:paraId="65DF6D4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противном случае зарегистрированные в соответствии со статьей 15 Федерального закона "О политических партиях" региональные отделения политических партий, равно как и избранные в установленном порядке их руководители, оказались бы по сугубо формальным, не имеющим разумного оправдания, причинам отстранены от участия в выборах. </w:t>
      </w:r>
    </w:p>
    <w:p w14:paraId="476F18DA"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C192C8E" w14:textId="383E4868"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Скорректирован порядок управления средствами Фонда национального благосостояния</w:t>
      </w:r>
      <w:r w:rsidRPr="00995FB0">
        <w:rPr>
          <w:rFonts w:ascii="Times New Roman" w:eastAsia="Times New Roman" w:hAnsi="Times New Roman" w:cs="Times New Roman"/>
          <w:sz w:val="24"/>
          <w:szCs w:val="24"/>
          <w:lang w:eastAsia="ru-RU"/>
        </w:rPr>
        <w:t xml:space="preserve"> </w:t>
      </w:r>
    </w:p>
    <w:p w14:paraId="26C892EC" w14:textId="5B19D4CB" w:rsidR="00995FB0" w:rsidRPr="00D60B2D" w:rsidRDefault="00995FB0" w:rsidP="00D60B2D">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r w:rsidRPr="00995FB0">
        <w:rPr>
          <w:rFonts w:ascii="Times New Roman" w:eastAsia="Times New Roman" w:hAnsi="Times New Roman" w:cs="Times New Roman"/>
          <w:sz w:val="24"/>
          <w:szCs w:val="24"/>
          <w:lang w:eastAsia="ru-RU"/>
        </w:rPr>
        <w:t xml:space="preserve">Согласно внесенному уточнению средства Фонда национального благосостояния размещаются на субординированные депозиты в российских кредитных организациях на основании отдельных решений Правительства РФ. </w:t>
      </w:r>
    </w:p>
    <w:p w14:paraId="77B92C4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отдельными решениями Правительства РФ устанавливаются доходность и иные существенные условия размещения средств на субординированных депозитах, условия </w:t>
      </w:r>
      <w:r w:rsidRPr="00995FB0">
        <w:rPr>
          <w:rFonts w:ascii="Times New Roman" w:eastAsia="Times New Roman" w:hAnsi="Times New Roman" w:cs="Times New Roman"/>
          <w:sz w:val="24"/>
          <w:szCs w:val="24"/>
          <w:lang w:eastAsia="ru-RU"/>
        </w:rPr>
        <w:lastRenderedPageBreak/>
        <w:t xml:space="preserve">начисления и уплаты процентов по указанным депозитам, а также условия возврата средств ФНБ. </w:t>
      </w:r>
    </w:p>
    <w:p w14:paraId="15E51AC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внесены изменения в условия размещения средств ФНБ на субординированных депозитах, в том числе исключены положения о возможности размещения средств в иностранных валютах, ранее предусмотренных постановлением. </w:t>
      </w:r>
    </w:p>
    <w:p w14:paraId="1142177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утратили силу отдельные положения, предусматривающие избыточные процедуры. </w:t>
      </w:r>
    </w:p>
    <w:p w14:paraId="2F8C21A1"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E1FAC47"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7020E9F8" w14:textId="6CC4E2F3"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Установлены порядок и условия принятия решений о предоставлении организациям права пользования участками недр, расположенными на территориях новых субъектов РФ, без проведения аукционов, а также особенности предоставления такого права</w:t>
      </w:r>
      <w:r w:rsidRPr="00995FB0">
        <w:rPr>
          <w:rFonts w:ascii="Times New Roman" w:eastAsia="Times New Roman" w:hAnsi="Times New Roman" w:cs="Times New Roman"/>
          <w:sz w:val="24"/>
          <w:szCs w:val="24"/>
          <w:lang w:eastAsia="ru-RU"/>
        </w:rPr>
        <w:t xml:space="preserve"> </w:t>
      </w:r>
    </w:p>
    <w:p w14:paraId="39BCC88E"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921B8D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Заявитель для получения права пользования участком недр подает в уполномоченный орган заявку с приложением к ней документов и сведений согласно установленному перечню. </w:t>
      </w:r>
    </w:p>
    <w:p w14:paraId="3DBBE00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Основанием предоставления заявителям права пользования участками недр является решение, принятое: комиссией, создаваемой Федеральным агентством по недропользованию или его территориальным органом, в отношении участков недр, не являющихся участками недр местного значения; комиссией, создаваемой органами государственной власти субъектов РФ, в отношении участков недр местного значения. </w:t>
      </w:r>
    </w:p>
    <w:p w14:paraId="6B8E259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Заседания комиссий проводятся очно и (или) посредством использования видео-конференц-связи. </w:t>
      </w:r>
    </w:p>
    <w:p w14:paraId="4743E7E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предоставлении права пользования участком недр может быть отказано по следующим основаниям: </w:t>
      </w:r>
    </w:p>
    <w:p w14:paraId="1324FDB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заявитель не представил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w:t>
      </w:r>
    </w:p>
    <w:p w14:paraId="0D25F2B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предоставлении заявителю права пользования участком недр не будут соблюдены антимонопольные требования; </w:t>
      </w:r>
    </w:p>
    <w:p w14:paraId="03DCB71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сведения о заявителе содержатся в реестре недобросовестных участников аукционов на право пользования участками недр; </w:t>
      </w:r>
    </w:p>
    <w:p w14:paraId="45689CB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предоставлении заявителю права пользования участком недр будут нарушены положения пункта 2 настоящих Правил. </w:t>
      </w:r>
    </w:p>
    <w:p w14:paraId="5950C42A"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A825521" w14:textId="78A80EB5"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услуг, предоставление которых может быть организовано в МФЦ</w:t>
      </w:r>
      <w:r w:rsidRPr="00995FB0">
        <w:rPr>
          <w:rFonts w:ascii="Times New Roman" w:eastAsia="Times New Roman" w:hAnsi="Times New Roman" w:cs="Times New Roman"/>
          <w:sz w:val="24"/>
          <w:szCs w:val="24"/>
          <w:lang w:eastAsia="ru-RU"/>
        </w:rPr>
        <w:t xml:space="preserve"> </w:t>
      </w:r>
    </w:p>
    <w:p w14:paraId="45088C9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C4BD2F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Предусмотрено, что в МФЦ на безвозмездной основе может предоставляться услуга по приему заявлений на выдачу квалифицированных сертификатов ключей проверки электронных подписей, создание и использование которых осуществляется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по вручению указанных сертификатов с осуществлением идентификации заявителя при его личном присутствии. </w:t>
      </w:r>
    </w:p>
    <w:p w14:paraId="43E9AD64"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w:t>
      </w:r>
    </w:p>
    <w:p w14:paraId="76ADB6BB" w14:textId="198380FF"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Актуализированы Правила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w:t>
      </w:r>
      <w:r w:rsidRPr="00995FB0">
        <w:rPr>
          <w:rFonts w:ascii="Times New Roman" w:eastAsia="Times New Roman" w:hAnsi="Times New Roman" w:cs="Times New Roman"/>
          <w:sz w:val="24"/>
          <w:szCs w:val="24"/>
          <w:lang w:eastAsia="ru-RU"/>
        </w:rPr>
        <w:t xml:space="preserve"> </w:t>
      </w:r>
    </w:p>
    <w:p w14:paraId="0148293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86135C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Правила приведены в соответствие с положениями Федерального закона от 28 декабря 2024 года N 522-ФЗ, которым в сферу законодательства о противодействии легализации (отмыванию) доходов, полученных преступным путем, и финансированию терроризма включено направление, связанное с противодействием финансированию экстремистской деятельности. </w:t>
      </w:r>
    </w:p>
    <w:p w14:paraId="05F21BF9"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427C18D" w14:textId="1A06F188"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Определены критерии оценки эффективности и результативности проведения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w:t>
      </w:r>
      <w:r w:rsidRPr="00995FB0">
        <w:rPr>
          <w:rFonts w:ascii="Times New Roman" w:eastAsia="Times New Roman" w:hAnsi="Times New Roman" w:cs="Times New Roman"/>
          <w:sz w:val="24"/>
          <w:szCs w:val="24"/>
          <w:lang w:eastAsia="ru-RU"/>
        </w:rPr>
        <w:t xml:space="preserve"> </w:t>
      </w:r>
    </w:p>
    <w:p w14:paraId="74390A7F"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442D87D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Такими критериями являются: </w:t>
      </w:r>
    </w:p>
    <w:p w14:paraId="21C1FE0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количество участников эксперимента, фактически осуществляющих деятельность по партнерскому финансированию; </w:t>
      </w:r>
    </w:p>
    <w:p w14:paraId="2A3B3D1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привлеченных участниками эксперимента денежных средств в рамках деятельности по партнерскому финансированию; </w:t>
      </w:r>
    </w:p>
    <w:p w14:paraId="3DA3806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количество совершенных участниками эксперимента сделок (операций) по привлечению денежных средств; </w:t>
      </w:r>
    </w:p>
    <w:p w14:paraId="4482FD7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средств, размещенных участниками эксперимента, а также количество таких сделок; </w:t>
      </w:r>
    </w:p>
    <w:p w14:paraId="704186B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денежных средств, привлеченных участниками эксперимента от лиц, являющихся нерезидентами, а также количество таких сделок. </w:t>
      </w:r>
    </w:p>
    <w:p w14:paraId="1CDA93FF"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86C4C05" w14:textId="7AEF4630"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полномочий, осуществляемых Федеральным казначейством в установленной сфере деятельности</w:t>
      </w:r>
      <w:r w:rsidRPr="00995FB0">
        <w:rPr>
          <w:rFonts w:ascii="Times New Roman" w:eastAsia="Times New Roman" w:hAnsi="Times New Roman" w:cs="Times New Roman"/>
          <w:sz w:val="24"/>
          <w:szCs w:val="24"/>
          <w:lang w:eastAsia="ru-RU"/>
        </w:rPr>
        <w:t xml:space="preserve"> </w:t>
      </w:r>
    </w:p>
    <w:p w14:paraId="3DAD200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8C0934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Казначейство России осуществляет, в числе прочего, автоматизированный мониторинг цен в государственной интегрированной информационной системе управления общественными финансами "Электронный бюджет" в отношении государственных контрактов на поставку вооружения, военной и специальной техники, заключенных Минобороны России, а также контрактов, заключенных в целях исполнения указанных государственных контрактов, с соблюдением требований законодательства РФ о государственной тайне. </w:t>
      </w:r>
    </w:p>
    <w:p w14:paraId="2977430E"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F54455A" w14:textId="648EFB3E"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Дополнены полномочия Минфина в части сохранения и укрепления традиционных российских духовно-нравственных ценностей</w:t>
      </w:r>
      <w:r w:rsidRPr="00995FB0">
        <w:rPr>
          <w:rFonts w:ascii="Times New Roman" w:eastAsia="Times New Roman" w:hAnsi="Times New Roman" w:cs="Times New Roman"/>
          <w:sz w:val="24"/>
          <w:szCs w:val="24"/>
          <w:lang w:eastAsia="ru-RU"/>
        </w:rPr>
        <w:t xml:space="preserve"> </w:t>
      </w:r>
    </w:p>
    <w:p w14:paraId="3EF582A9"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0695FF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Закреплено, что Минфин осуществляет мероприятия по обеспечению соответствия своей деятельности целям и задачам государственной политики по сохранению и укреплению традиционных российских духовно-нравственных ценностей. </w:t>
      </w:r>
    </w:p>
    <w:p w14:paraId="559470DC"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ABA7CBE" w14:textId="6742FC2A"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lastRenderedPageBreak/>
        <w:t>Установлен порядок предоставления государственной услуги по информированию застрахованных лиц о предполагаемом размере страховой пенсии по старости и о суммах средств пенсионных накоплений</w:t>
      </w:r>
      <w:r w:rsidRPr="00995FB0">
        <w:rPr>
          <w:rFonts w:ascii="Times New Roman" w:eastAsia="Times New Roman" w:hAnsi="Times New Roman" w:cs="Times New Roman"/>
          <w:sz w:val="24"/>
          <w:szCs w:val="24"/>
          <w:lang w:eastAsia="ru-RU"/>
        </w:rPr>
        <w:t xml:space="preserve"> </w:t>
      </w:r>
    </w:p>
    <w:p w14:paraId="1F50502E"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617C7CC"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Услуга предоставляется Фондом пенсионного и социального страхования РФ застрахованным лицам, достигшим возраста 45 и 40 лет (соответственно мужчины и женщины), не являющимся получателями страховой пенсии по старости, в том числе назначенной досрочно, страховой пенсии по инвалидности, пенсии по старости, установленной в соответствии с Законом РФ от 15 мая 1991 г. N 1244-1 "О социальной защите граждан, подвергшихся воздействию радиации вследствие катастрофы на Чернобыльской АЭС", пенсии, назначенной в соответствии с Федеральным законом от 12 декабря 2023 г. N 565-ФЗ "О занятости населения в Российской Федерации", а также не являющимся получателями выплат за счет средств пенсионных накоплений, не зарегистрированным в ЕСИА. </w:t>
      </w:r>
    </w:p>
    <w:p w14:paraId="0958D9F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Максимальный срок предоставления услуги составляет 3 рабочих дня со дня регистрации в территориальном органе СФР запроса о размере пенсии, запроса о суммах средств и необходимых документов, направленных заявителем посредством почтовой связи. При подаче заявителем запроса в территориальный орган СФР, услуга предоставляется в режиме реального времени в день регистрации запроса. </w:t>
      </w:r>
    </w:p>
    <w:p w14:paraId="30ADBDB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Результаты предоставления услуги могут быть получены в территориальном органе СФР или посредством почтовой связи. </w:t>
      </w:r>
    </w:p>
    <w:p w14:paraId="1453835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Взимание государственной пошлины или иной платы за предоставление услуги не предусмотрено. </w:t>
      </w:r>
    </w:p>
    <w:p w14:paraId="62E2C8D1"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13EF1D0" w14:textId="2013ACC5"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Актуализирован перечень нормативных правовых актов, содержащих обязательные требования, оценка соблюдения которых осуществляется Ространснадзором в рамках государственного контроля (надзора), привлечения к административной ответственности</w:t>
      </w:r>
      <w:r w:rsidRPr="00995FB0">
        <w:rPr>
          <w:rFonts w:ascii="Times New Roman" w:eastAsia="Times New Roman" w:hAnsi="Times New Roman" w:cs="Times New Roman"/>
          <w:sz w:val="24"/>
          <w:szCs w:val="24"/>
          <w:lang w:eastAsia="ru-RU"/>
        </w:rPr>
        <w:t xml:space="preserve"> </w:t>
      </w:r>
    </w:p>
    <w:p w14:paraId="56CF8404"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3739ED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Признается утратившим силу аналогичный Приказ Ространснадзора от 07.02.2025 N ВБ-25фс. </w:t>
      </w:r>
    </w:p>
    <w:p w14:paraId="75A05E36"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44B36DA" w14:textId="4C093552"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 xml:space="preserve">Рособрнадзором направлены разъяснения по вопросам соблюдения обязательных требований к проведению экзамена по русскому языку как иностранному, истории России и </w:t>
      </w:r>
      <w:proofErr w:type="gramStart"/>
      <w:r w:rsidRPr="00995FB0">
        <w:rPr>
          <w:rFonts w:ascii="Times New Roman" w:eastAsia="Times New Roman" w:hAnsi="Times New Roman" w:cs="Times New Roman"/>
          <w:b/>
          <w:bCs/>
          <w:sz w:val="24"/>
          <w:szCs w:val="24"/>
          <w:lang w:eastAsia="ru-RU"/>
        </w:rPr>
        <w:t>основам законодательства РФ</w:t>
      </w:r>
      <w:proofErr w:type="gramEnd"/>
      <w:r w:rsidRPr="00995FB0">
        <w:rPr>
          <w:rFonts w:ascii="Times New Roman" w:eastAsia="Times New Roman" w:hAnsi="Times New Roman" w:cs="Times New Roman"/>
          <w:b/>
          <w:bCs/>
          <w:sz w:val="24"/>
          <w:szCs w:val="24"/>
          <w:lang w:eastAsia="ru-RU"/>
        </w:rPr>
        <w:t xml:space="preserve"> и выдаче иностранным гражданам сертификата</w:t>
      </w:r>
      <w:r w:rsidRPr="00995FB0">
        <w:rPr>
          <w:rFonts w:ascii="Times New Roman" w:eastAsia="Times New Roman" w:hAnsi="Times New Roman" w:cs="Times New Roman"/>
          <w:sz w:val="24"/>
          <w:szCs w:val="24"/>
          <w:lang w:eastAsia="ru-RU"/>
        </w:rPr>
        <w:t xml:space="preserve"> </w:t>
      </w:r>
    </w:p>
    <w:p w14:paraId="74841F23"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B7663E8" w14:textId="77777777" w:rsidR="00D60B2D" w:rsidRDefault="00995FB0" w:rsidP="00D60B2D">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разъяснено, будут ли проводиться проверки государственных учреждений, проводящих экзамен, в 2025 году, какие документы будет требовать контрольный (надзорный) орган в обязательном порядке при проведении проверки, предусмотрено ли уведомление государственного учреждения о проведении проверки и пр. </w:t>
      </w:r>
    </w:p>
    <w:p w14:paraId="7FBA44FE" w14:textId="77777777" w:rsidR="00D60B2D" w:rsidRDefault="00D60B2D" w:rsidP="00D60B2D">
      <w:pPr>
        <w:spacing w:before="168" w:after="0" w:line="288" w:lineRule="atLeast"/>
        <w:jc w:val="both"/>
        <w:rPr>
          <w:rFonts w:ascii="Times New Roman" w:eastAsia="Times New Roman" w:hAnsi="Times New Roman" w:cs="Times New Roman"/>
          <w:b/>
          <w:bCs/>
          <w:sz w:val="24"/>
          <w:szCs w:val="24"/>
          <w:lang w:eastAsia="ru-RU"/>
        </w:rPr>
      </w:pPr>
    </w:p>
    <w:p w14:paraId="250B7637" w14:textId="69A5E0CB" w:rsidR="00995FB0" w:rsidRPr="00D60B2D" w:rsidRDefault="00995FB0" w:rsidP="00D60B2D">
      <w:pPr>
        <w:pStyle w:val="a4"/>
        <w:numPr>
          <w:ilvl w:val="0"/>
          <w:numId w:val="1"/>
        </w:numPr>
        <w:spacing w:before="168" w:after="0" w:line="288" w:lineRule="atLeast"/>
        <w:jc w:val="both"/>
        <w:rPr>
          <w:rFonts w:ascii="Times New Roman" w:eastAsia="Times New Roman" w:hAnsi="Times New Roman" w:cs="Times New Roman"/>
          <w:b/>
          <w:bCs/>
          <w:sz w:val="24"/>
          <w:szCs w:val="24"/>
          <w:lang w:eastAsia="ru-RU"/>
        </w:rPr>
      </w:pPr>
      <w:r w:rsidRPr="00D60B2D">
        <w:rPr>
          <w:rFonts w:ascii="Times New Roman" w:eastAsia="Times New Roman" w:hAnsi="Times New Roman" w:cs="Times New Roman"/>
          <w:b/>
          <w:bCs/>
          <w:sz w:val="24"/>
          <w:szCs w:val="24"/>
          <w:lang w:eastAsia="ru-RU"/>
        </w:rPr>
        <w:t>Президент РФ поручил обеспечить ускоренное развитие отрасли беспилотной авиации для достижения к 2030 году технологического лидерства в ней</w:t>
      </w:r>
      <w:r w:rsidRPr="00D60B2D">
        <w:rPr>
          <w:rFonts w:ascii="Times New Roman" w:eastAsia="Times New Roman" w:hAnsi="Times New Roman" w:cs="Times New Roman"/>
          <w:sz w:val="24"/>
          <w:szCs w:val="24"/>
          <w:lang w:eastAsia="ru-RU"/>
        </w:rPr>
        <w:t xml:space="preserve"> </w:t>
      </w:r>
    </w:p>
    <w:p w14:paraId="43C2E1D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995FB0" w:rsidRPr="00995FB0" w14:paraId="7C86728F" w14:textId="77777777" w:rsidTr="00995FB0">
        <w:tc>
          <w:tcPr>
            <w:tcW w:w="180" w:type="dxa"/>
            <w:tcMar>
              <w:top w:w="0" w:type="dxa"/>
              <w:left w:w="0" w:type="dxa"/>
              <w:bottom w:w="0" w:type="dxa"/>
              <w:right w:w="150" w:type="dxa"/>
            </w:tcMar>
            <w:hideMark/>
          </w:tcPr>
          <w:p w14:paraId="265DCD7E"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noProof/>
              </w:rPr>
              <w:drawing>
                <wp:inline distT="0" distB="0" distL="0" distR="0" wp14:anchorId="4A0D7CB2" wp14:editId="0275A5A7">
                  <wp:extent cx="114300" cy="142875"/>
                  <wp:effectExtent l="0" t="0" r="0" b="9525"/>
                  <wp:docPr id="322" name="Рисунок 322" descr="C:\Users\Neshchetnaia.A.V\AppData\Local\Microsoft\Windows\INetCache\Content.MSO\654181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Neshchetnaia.A.V\AppData\Local\Microsoft\Windows\INetCache\Content.MSO\65418145.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7A127F2" w14:textId="77777777" w:rsidR="00995FB0" w:rsidRPr="00995FB0" w:rsidRDefault="00995FB0" w:rsidP="00995FB0">
            <w:pPr>
              <w:spacing w:after="0" w:line="288" w:lineRule="atLeast"/>
              <w:rPr>
                <w:rFonts w:ascii="Times New Roman" w:eastAsia="Times New Roman" w:hAnsi="Times New Roman" w:cs="Times New Roman"/>
                <w:sz w:val="21"/>
                <w:szCs w:val="21"/>
                <w:lang w:eastAsia="ru-RU"/>
              </w:rPr>
            </w:pPr>
            <w:r w:rsidRPr="00995FB0">
              <w:rPr>
                <w:rFonts w:ascii="Times New Roman" w:eastAsia="Times New Roman" w:hAnsi="Times New Roman" w:cs="Times New Roman"/>
                <w:sz w:val="21"/>
                <w:szCs w:val="21"/>
                <w:lang w:eastAsia="ru-RU"/>
              </w:rPr>
              <w:t>"Перечень поручений по итогам совещания по развитию беспилотных авиационных систем"</w:t>
            </w:r>
            <w:r w:rsidRPr="00995FB0">
              <w:rPr>
                <w:rFonts w:ascii="Times New Roman" w:eastAsia="Times New Roman" w:hAnsi="Times New Roman" w:cs="Times New Roman"/>
                <w:sz w:val="21"/>
                <w:szCs w:val="21"/>
                <w:lang w:eastAsia="ru-RU"/>
              </w:rPr>
              <w:br/>
              <w:t xml:space="preserve">(утв. Президентом РФ 19.03.2025 N Пр-589) </w:t>
            </w:r>
          </w:p>
        </w:tc>
      </w:tr>
    </w:tbl>
    <w:p w14:paraId="2A8DA264" w14:textId="4DDC1384"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lastRenderedPageBreak/>
        <w:t>Крупные АО в 2025 году могут проводить годовое заседание общего собрания акционеров с дистанционным участием без закрепления в уставе</w:t>
      </w:r>
      <w:r w:rsidRPr="00995FB0">
        <w:rPr>
          <w:rFonts w:ascii="Times New Roman" w:eastAsia="Times New Roman" w:hAnsi="Times New Roman" w:cs="Times New Roman"/>
          <w:sz w:val="24"/>
          <w:szCs w:val="24"/>
          <w:lang w:eastAsia="ru-RU"/>
        </w:rPr>
        <w:t xml:space="preserve"> </w:t>
      </w:r>
    </w:p>
    <w:p w14:paraId="169BAE12"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229BC05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Согласно поправкам акционерное общество с числом акционеров более 1 миллиона, уставом которого не предусмотрено положение о возможности проведения заседания общего собрания акционеров с дистанционным участием без определения места его проведения и возможности присутствия в этом месте, вправе в 2025 году провести годовое заседание общего собрания акционеров с дистанционным участием без определения места его проведения и возможности присутствия в этом месте. </w:t>
      </w:r>
    </w:p>
    <w:p w14:paraId="4C2EB95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предусмотрена возможность предоставления земельного участка, находящегося в государственной или муниципальной собственности, в аренду без проведения торгов на срок до 10 лет гражданину РФ или юридическому лицу в период проведения специальной военной операции при соблюдении определенных условий. </w:t>
      </w:r>
    </w:p>
    <w:p w14:paraId="3788785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усовершенствован порядок приватизации государственного и муниципального имущества. </w:t>
      </w:r>
    </w:p>
    <w:p w14:paraId="097CD375"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14C8F80A" w14:textId="459BD78C"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Даны разъяснения по вопросу необходимости государственной регистрации товарного знака в целях его использования в гражданском обороте</w:t>
      </w:r>
      <w:r w:rsidRPr="00995FB0">
        <w:rPr>
          <w:rFonts w:ascii="Times New Roman" w:eastAsia="Times New Roman" w:hAnsi="Times New Roman" w:cs="Times New Roman"/>
          <w:sz w:val="24"/>
          <w:szCs w:val="24"/>
          <w:lang w:eastAsia="ru-RU"/>
        </w:rPr>
        <w:t xml:space="preserve"> </w:t>
      </w:r>
    </w:p>
    <w:p w14:paraId="7CE04483"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86CAFD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 ссылками на положения ГК РФ сообщается, что лицу, на имя которого зарегистрирован товарный знак (правообладателю), принадлежит исключительное право использования товарного знака любым не противоречащим закону способом. Использование товарного знака без разрешения правообладателя влечет нарушение его исключительных прав. </w:t>
      </w:r>
    </w:p>
    <w:p w14:paraId="7CA3AE9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в системе действующего правового регулирования отсутствует императивный запрет на использование обозначений без регистрации товарного знака. Вопрос определения необходимости государственной регистрации товарного знака всегда лежит в сфере интересов конкретного гражданина (физического лица) или юридического лица. </w:t>
      </w:r>
    </w:p>
    <w:p w14:paraId="2E6CBF21"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1CED0F5C" w14:textId="1E90FE50"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Регистрация компании по адресу, который также является адресом пяти и более организаций, больше не является основанием для автоматического назначения проверки достоверности сведений, включаемых в ЕГРЮЛ</w:t>
      </w:r>
      <w:r w:rsidRPr="00995FB0">
        <w:rPr>
          <w:rFonts w:ascii="Times New Roman" w:eastAsia="Times New Roman" w:hAnsi="Times New Roman" w:cs="Times New Roman"/>
          <w:sz w:val="24"/>
          <w:szCs w:val="24"/>
          <w:lang w:eastAsia="ru-RU"/>
        </w:rPr>
        <w:t xml:space="preserve"> </w:t>
      </w:r>
    </w:p>
    <w:p w14:paraId="4D730301" w14:textId="0B0115C4" w:rsidR="00995FB0" w:rsidRPr="00995FB0" w:rsidRDefault="00995FB0" w:rsidP="00995FB0">
      <w:pPr>
        <w:spacing w:after="0" w:line="168" w:lineRule="atLeast"/>
        <w:rPr>
          <w:rFonts w:ascii="Times New Roman" w:eastAsia="Times New Roman" w:hAnsi="Times New Roman" w:cs="Times New Roman"/>
          <w:sz w:val="17"/>
          <w:szCs w:val="17"/>
          <w:lang w:eastAsia="ru-RU"/>
        </w:rPr>
      </w:pPr>
    </w:p>
    <w:p w14:paraId="0B219A3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наличии оснований регистрирующий орган может проверить достоверность включенных в ЕГРЮЛ сведений об адресе. Если компания не ведет деятельность по адресу, указанному при регистрации, то в ЕГРЮЛ могут внести запись о недостоверности представленных сведений, а затем исключить компанию из реестра. </w:t>
      </w:r>
    </w:p>
    <w:p w14:paraId="23267CD6"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9D53AED" w14:textId="252D300D"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Внесены изменения в требования к схемам теплоснабжения, порядку их разработки и утверждения</w:t>
      </w:r>
      <w:r w:rsidRPr="00995FB0">
        <w:rPr>
          <w:rFonts w:ascii="Times New Roman" w:eastAsia="Times New Roman" w:hAnsi="Times New Roman" w:cs="Times New Roman"/>
          <w:sz w:val="24"/>
          <w:szCs w:val="24"/>
          <w:lang w:eastAsia="ru-RU"/>
        </w:rPr>
        <w:t xml:space="preserve"> </w:t>
      </w:r>
    </w:p>
    <w:p w14:paraId="744263F2"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3A17A8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установлен порядок разработки предложений об актуализации системы мер по повышению надежности малонадежных и ненадежных систем теплоснабжения, определенных по итогам анализа и оценки надежности теплоснабжения в отношении территории соответствующего поселения, муниципального округа, городского округа, определен перечень сведений, включаемых в указанные предложения, установлен порядок представления исполнительным органом субъекта РФ итогов анализа и оценки надежности </w:t>
      </w:r>
      <w:r w:rsidRPr="00995FB0">
        <w:rPr>
          <w:rFonts w:ascii="Times New Roman" w:eastAsia="Times New Roman" w:hAnsi="Times New Roman" w:cs="Times New Roman"/>
          <w:sz w:val="24"/>
          <w:szCs w:val="24"/>
          <w:lang w:eastAsia="ru-RU"/>
        </w:rPr>
        <w:lastRenderedPageBreak/>
        <w:t xml:space="preserve">теплоснабжения на территории соответствующего поселения, муниципального округа, городского округа, уточнен порядок направления органом местного самоуправления, органом исполнительной власти городов федерального значения в уполномоченный федеральный орган проекта схемы теплоснабжения (проекта актуализированной схемы теплоснабжения). </w:t>
      </w:r>
    </w:p>
    <w:p w14:paraId="14E66563"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5CC406F" w14:textId="3D37E478"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 конца 2026 года расчет пеней и штрафов за несвоевременную оплату ЖКУ будет осуществляться исходя из пониженной ключевой ставки Банка России</w:t>
      </w:r>
      <w:r w:rsidRPr="00995FB0">
        <w:rPr>
          <w:rFonts w:ascii="Times New Roman" w:eastAsia="Times New Roman" w:hAnsi="Times New Roman" w:cs="Times New Roman"/>
          <w:sz w:val="24"/>
          <w:szCs w:val="24"/>
          <w:lang w:eastAsia="ru-RU"/>
        </w:rPr>
        <w:t xml:space="preserve"> </w:t>
      </w:r>
    </w:p>
    <w:p w14:paraId="67D0C86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201BF42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Правительство утвердило особенности регулирования жилищных отношений в 2025 - 2026 годах. </w:t>
      </w:r>
    </w:p>
    <w:p w14:paraId="6B7199A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Согласно постановлению до 1 января 2027 года расчет пеней, штрафов, начисление процентов в случаях, в частности, несвоевременного внесения платы за жилое помещение и коммунальные услуги, взносов на капитальный ремонт и т.д., будет осуществляться исходя из минимального значения ключевой ставки Банка России из следующих значений: ключевой ставки, действующей по состоянию на 27 февраля 2022 г., и ключевой ставки, действующей на день фактической оплаты (на день исполнения обязательства, на день начисления процентов). </w:t>
      </w:r>
    </w:p>
    <w:p w14:paraId="001FE187"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21BAD51" w14:textId="1E7377AC"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Разъяснены особенности применения на 2025 год дифференцированных по объемам потребления электрической энергии тарифов для населения и приравненных к нему категорий потребителей</w:t>
      </w:r>
      <w:r w:rsidRPr="00995FB0">
        <w:rPr>
          <w:rFonts w:ascii="Times New Roman" w:eastAsia="Times New Roman" w:hAnsi="Times New Roman" w:cs="Times New Roman"/>
          <w:sz w:val="24"/>
          <w:szCs w:val="24"/>
          <w:lang w:eastAsia="ru-RU"/>
        </w:rPr>
        <w:t xml:space="preserve"> </w:t>
      </w:r>
    </w:p>
    <w:p w14:paraId="5AD4DBE2"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F27D7D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числе прочего, следующее: </w:t>
      </w:r>
    </w:p>
    <w:p w14:paraId="568F62C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перерасчет и последующее определение стоимости электрической энергии по диапазонам объемов потребления с учетом примененного сезонного коэффициента осуществляется в отношении оборудованных электроотопительными установками </w:t>
      </w:r>
      <w:proofErr w:type="spellStart"/>
      <w:r w:rsidRPr="00995FB0">
        <w:rPr>
          <w:rFonts w:ascii="Times New Roman" w:eastAsia="Times New Roman" w:hAnsi="Times New Roman" w:cs="Times New Roman"/>
          <w:sz w:val="24"/>
          <w:szCs w:val="24"/>
          <w:lang w:eastAsia="ru-RU"/>
        </w:rPr>
        <w:t>негазифицированных</w:t>
      </w:r>
      <w:proofErr w:type="spellEnd"/>
      <w:r w:rsidRPr="00995FB0">
        <w:rPr>
          <w:rFonts w:ascii="Times New Roman" w:eastAsia="Times New Roman" w:hAnsi="Times New Roman" w:cs="Times New Roman"/>
          <w:sz w:val="24"/>
          <w:szCs w:val="24"/>
          <w:lang w:eastAsia="ru-RU"/>
        </w:rPr>
        <w:t xml:space="preserve"> жилых и садовых домов, в том числе находящихся на земельных участках садоводческих или огороднических некоммерческих товариществ, при наличии зарегистрированного права собственности или иного предусмотренного законом права на указанные объекты; </w:t>
      </w:r>
    </w:p>
    <w:p w14:paraId="55CDAE8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определении стоимости электрической энергии в отношении садоводческих или огороднических некоммерческих товариществ гарантирующие поставщики, энергосбытовые (энергоснабжающие) организации применяют диапазоны объемов потребления, установленные для данной группы потребителей, за исключением тех жилых и (или) садовых домов, в отношении которых заключены договоры энергоснабжения между потребителем и гарантирующим поставщиком, энергосбытовой (энергоснабжающей) организацией; </w:t>
      </w:r>
    </w:p>
    <w:p w14:paraId="4EAC83D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целях проверки фактов газификации жилых (садовых) домов гарантирующие поставщики (энергосбытовые (энергоснабжающие) организации) могут обратиться в газораспределительные организации или органы местного самоуправления с запросом перечня жилых и садовых домов, подключенных к централизованной системе газоснабжения. Уполномоченным исполнительным органам субъектов РФ рекомендуется содействовать в предоставлении такой информации; </w:t>
      </w:r>
    </w:p>
    <w:p w14:paraId="4B4BE94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выставлении счетов гарантирующими поставщиками, энергосбытовым (энергоснабжающим) организациям населению и приравненным потребителям, к объемам первого диапазона потребления электрической энергии применяется соответствующий тариф на электрическую энергию для первого диапазона. К объемам второго и третьего </w:t>
      </w:r>
      <w:r w:rsidRPr="00995FB0">
        <w:rPr>
          <w:rFonts w:ascii="Times New Roman" w:eastAsia="Times New Roman" w:hAnsi="Times New Roman" w:cs="Times New Roman"/>
          <w:sz w:val="24"/>
          <w:szCs w:val="24"/>
          <w:lang w:eastAsia="ru-RU"/>
        </w:rPr>
        <w:lastRenderedPageBreak/>
        <w:t xml:space="preserve">диапазонов потребления электрической энергии применяются соответствующие тарифы на электрическую энергию для второго и третьего диапазонов. Выставление поставщиками тарифа не соответствующего диапазона, а также применение тарифа второго и третьего диапазона ко всему объему потребления электрической энергии является нарушением действующего порядка ценообразования на розничном рынке электрической энергии и мощности. </w:t>
      </w:r>
    </w:p>
    <w:p w14:paraId="3A4094B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отмечается, что к документам, подтверждающим отопление жилого (садового дома) с применением электроотопительной установки, могут быть отнесены, в частности: </w:t>
      </w:r>
    </w:p>
    <w:p w14:paraId="5A96277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технический паспорт жилого помещения; </w:t>
      </w:r>
    </w:p>
    <w:p w14:paraId="4D74EB2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проектная документация или иные документы технического учета, если в них отражен данный способ отопления; </w:t>
      </w:r>
    </w:p>
    <w:p w14:paraId="196E18B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технический паспорт на электроотопительную установку; </w:t>
      </w:r>
    </w:p>
    <w:p w14:paraId="2FB75E1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акт осмотра гарантирующего поставщика (энергосбытовой (энергоснабжающей) организации), с которым потребитель ведет расчеты, и (или) осмотром сетевой организации или осмотром представителя садоводческого или огороднического некоммерческого товарищества (в отношении садовых участков (домов), расчеты за электрическую энергию (мощность) по которым ведутся с указанным товариществом); </w:t>
      </w:r>
    </w:p>
    <w:p w14:paraId="28A0FC2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иные документы, подтверждающие наличие соответствующего оборудования. </w:t>
      </w:r>
    </w:p>
    <w:p w14:paraId="42F76586"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7FEA657" w14:textId="5AC3F71D"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Разъяснены особенности управления многоквартирным домом, все помещения в котором принадлежат одному собственнику</w:t>
      </w:r>
      <w:r w:rsidRPr="00995FB0">
        <w:rPr>
          <w:rFonts w:ascii="Times New Roman" w:eastAsia="Times New Roman" w:hAnsi="Times New Roman" w:cs="Times New Roman"/>
          <w:sz w:val="24"/>
          <w:szCs w:val="24"/>
          <w:lang w:eastAsia="ru-RU"/>
        </w:rPr>
        <w:t xml:space="preserve"> </w:t>
      </w:r>
    </w:p>
    <w:p w14:paraId="6F401738"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4EFB17C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следующее. </w:t>
      </w:r>
    </w:p>
    <w:p w14:paraId="11CBBA0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если все помещения в МКД принадлежат одному собственнику, такой собственник на основании части 7 статьи 46 ЖК РФ единолично принимает решение о выборе способа управления МКД. Если в МКД более тридцати квартир, тогда выбор непосредственного управления МКД законом не допускается. </w:t>
      </w:r>
    </w:p>
    <w:p w14:paraId="4FAC9A1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ЖК РФ не содержит запрета на создание ТСЖ лицом, которое является собственником всех помещений в МКД. </w:t>
      </w:r>
    </w:p>
    <w:p w14:paraId="2BA09F1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если ТСЖ создано лицом, которое является собственником всех помещений в МКД, такое лицо единолично образует правление ТСЖ и является председателем правления ТСЖ, при этом указанное лицо обязано избрать ревизионную комиссию (ревизора), членом которой само это лицо являться не может. Отмечается, что ЖК РФ не содержит требования о выборе ревизионной комиссии (ревизора) ТСЖ исключительно из членов ТСЖ. Кроме того, в случае наличия у собственника всех помещений в МКД лицензии на осуществление предпринимательской деятельности по управлению МКД созданное таким собственником ТСЖ не имеет права заключить договор управления МКД с этим собственником. </w:t>
      </w:r>
    </w:p>
    <w:p w14:paraId="4C038E9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выбора собственником всех помещений в МКД способа управления МКД управляющей организацией такой собственник в силу пункта 4.7 части 2 статьи 44 ЖК РФ имеет право выбрать управляющую организацию. Лицо, которое является собственником всех помещений в МКД, в случае выбора способа управления МКД управляющей организацией не имеет права выбрать в качестве управляющей организации самого себя, </w:t>
      </w:r>
      <w:r w:rsidRPr="00995FB0">
        <w:rPr>
          <w:rFonts w:ascii="Times New Roman" w:eastAsia="Times New Roman" w:hAnsi="Times New Roman" w:cs="Times New Roman"/>
          <w:sz w:val="24"/>
          <w:szCs w:val="24"/>
          <w:lang w:eastAsia="ru-RU"/>
        </w:rPr>
        <w:lastRenderedPageBreak/>
        <w:t xml:space="preserve">независимо от того, имеется ли у указанного лица лицензия на осуществление предпринимательской деятельности по управлению МКД. </w:t>
      </w:r>
    </w:p>
    <w:p w14:paraId="3F8320C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 образом, собственник всех помещений в МКД вправе принять единолично решение о выборе способа управления МКД, а определенное решением лицо, осуществляющее деятельность по управлению МКД, обязано размещать информацию в ГИС ЖКХ в соответствии с Федеральным законом от 21 июля 2014 г. N 209-ФЗ "О государственной информационной системе жилищно-коммунального хозяйства". </w:t>
      </w:r>
    </w:p>
    <w:p w14:paraId="248C98C1"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40CCFBA1" w14:textId="4004B53E"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Даны разъяснения по вопросу установки шлагбаума на проезде или проходе на земельном участке, находящемся непосредственно у многоквартирного дома</w:t>
      </w:r>
      <w:r w:rsidRPr="00995FB0">
        <w:rPr>
          <w:rFonts w:ascii="Times New Roman" w:eastAsia="Times New Roman" w:hAnsi="Times New Roman" w:cs="Times New Roman"/>
          <w:sz w:val="24"/>
          <w:szCs w:val="24"/>
          <w:lang w:eastAsia="ru-RU"/>
        </w:rPr>
        <w:t xml:space="preserve"> </w:t>
      </w:r>
    </w:p>
    <w:p w14:paraId="12DE2F53"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11B05A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что для разрешения данного вопроса необходимо определить, входит ли земельный участок в состав общего имущества собственников помещений в многоквартирном доме (далее - МКД) или указанный земельный участок находится в государственной или муниципальной собственности публично-правового образования, на территории которого расположен МКД. </w:t>
      </w:r>
    </w:p>
    <w:p w14:paraId="74B53A2C"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Установка шлагбаума на земельном участке, входящем в состав общего имущества в МКД, осуществляется по решению общего собрания собственников помещений в указанном МКД, при этом такое решение принято, если за него проголосовали собственники, обладающие не менее чем двумя третями голосов от общего числа голосов собственников помещений в МКД. Распоряжение земельным участком, не входящим в состав общего имущества МКД, в том числе принятие решений об установке на таком земельном участке шлагбаумов, не относится к компетенции общего собрания собственников помещений в МКД. </w:t>
      </w:r>
    </w:p>
    <w:p w14:paraId="6785AE0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Отмечается, что жилищным законодательством не предусмотрена возможность определения общего имущества нескольких МКД, в том числе не допускается определение одного земельного участка, входящего в состав общего имущества двух или более МКД. Следовательно, если на государственный кадастровый учет поставлен земельный участок, на котором расположены два или более МКД, такой земельный участок не входит в состав общего имущества собственников помещений в МКД и является собственностью публично-правового образования, на территории которого расположен указанный земельный участок. </w:t>
      </w:r>
    </w:p>
    <w:p w14:paraId="0E715EA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земельный участок под одним МКД не образован, тогда земля под МКД находится в собственности соответствующего публично-правового образования. В указанном случае распоряжение земельным участком, в том числе установка шлагбаумов, предназначенных для ограничения проезда и (или) прохода на земельный участок, является правом уполномоченных органов соответствующего публично-правового образования. </w:t>
      </w:r>
    </w:p>
    <w:p w14:paraId="2E4974BA"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30FDCA9" w14:textId="5BA6388F"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Минстроем дан ряд разъяснений по вопросам взимания с граждан платы за коммунальные услуги</w:t>
      </w:r>
      <w:r w:rsidRPr="00995FB0">
        <w:rPr>
          <w:rFonts w:ascii="Times New Roman" w:eastAsia="Times New Roman" w:hAnsi="Times New Roman" w:cs="Times New Roman"/>
          <w:sz w:val="24"/>
          <w:szCs w:val="24"/>
          <w:lang w:eastAsia="ru-RU"/>
        </w:rPr>
        <w:t xml:space="preserve"> </w:t>
      </w:r>
    </w:p>
    <w:p w14:paraId="2291181D"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C046E2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в письме отмечено следующее: </w:t>
      </w:r>
    </w:p>
    <w:p w14:paraId="110275F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частью 1 статьи 153 ЖК РФ установлена обязанность граждан и организаций своевременно и полностью вносить плату за жилое помещение и коммунальные услуги. Данная норма не предусматривает возможности возложения на собственника жилого помещения обязанности по оплате услуг, не оказанных либо оказанных без законных оснований; </w:t>
      </w:r>
    </w:p>
    <w:p w14:paraId="2673FCC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платежный документ не является офертой, поскольку содержит состав платежа за жилищно-коммунальные услуги для конкретного потребителя; </w:t>
      </w:r>
    </w:p>
    <w:p w14:paraId="4AB5A17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действующим законодательством на исполнителей услуг не возлагается обязанность проставления в платежных документах на оплату жилищно-коммунальных услуг ни подписей должностных лиц, ни печати организации; </w:t>
      </w:r>
    </w:p>
    <w:p w14:paraId="3500CC3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юридическое лицо, которому в соответствии с ЖК РФ вносится плата за жилое помещение и коммунальные услуги, а также его представитель вправе взимать плату за жилое помещение и коммунальные услуги как самостоятельно, так и с привлечением платежных агентов и банковских платежных агентов, при этом привлечение последних не является обязательным. В случае привлечения платежного агента платежный агент при приеме платежей обязан использовать специальный банковский счет (счета) для осуществления расчетов. </w:t>
      </w:r>
    </w:p>
    <w:p w14:paraId="7AA64BD7"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D8251C4" w14:textId="0DFF2AB3"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Минтрудом направлены разъяснения по вопросу снятия безработного гражданина с регистрационного учета в связи с получением (попыткой получения) пособия по безработице обманным путем</w:t>
      </w:r>
      <w:r w:rsidRPr="00995FB0">
        <w:rPr>
          <w:rFonts w:ascii="Times New Roman" w:eastAsia="Times New Roman" w:hAnsi="Times New Roman" w:cs="Times New Roman"/>
          <w:sz w:val="24"/>
          <w:szCs w:val="24"/>
          <w:lang w:eastAsia="ru-RU"/>
        </w:rPr>
        <w:t xml:space="preserve"> </w:t>
      </w:r>
    </w:p>
    <w:p w14:paraId="6B87C79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42C703E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 ссылками на Федеральный закон от 12 декабря 2023 г. N 565-ФЗ "О занятости населения в Российской Федерации" сообщается, в частности, что основаниями для возможного принятия решения о снятии безработного гражданина с регистрационного учета в связи с получением (попыткой получения) пособия по безработице обманным путем являются: </w:t>
      </w:r>
    </w:p>
    <w:p w14:paraId="67EE376B"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представление гражданином документов, содержащих заведомо ложные сведения об отсутствии работы и заработка; </w:t>
      </w:r>
    </w:p>
    <w:p w14:paraId="38D0F70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несоответствие сведений, указанных гражданином в заявлении о предоставлении меры государственной поддержки по содействию гражданам в поиске подходящей работы, сведениям, полученным центром занятости населения в госорганах. </w:t>
      </w:r>
    </w:p>
    <w:p w14:paraId="43A1F51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Безработный гражданин, в отношении которого центром занятости населения принято решение о снятии с регистрационного учета в связи с представлением в центр занятости населения недостоверных документов и (или) сведений, влияющих на приобретение им статуса безработного, снимается с регистрационного учета со дня его признания безработным. </w:t>
      </w:r>
    </w:p>
    <w:p w14:paraId="3743CDD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основанием для снятия безработного гражданина с регистрационного учета в связи с получением (попыткой получения) пособия по безработице обманным путем является нарушение условий выполнения работ (оказания услуг) по договору гражданско-правового характера в период безработицы. В этом случае безработный гражданин снимается с регистрационного учета со дня начала выполнения работ (оказания услуг) по договору гражданско-правового характера. </w:t>
      </w:r>
    </w:p>
    <w:p w14:paraId="3F3BA4B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Сумма излишне выплаченного пособия по безработице гражданам, снятым с регистрационного учета в связи с получением (попыткой получения) пособия по безработице обманным путем, подлежит возврату в соответствии с пунктом 1 статьи 1102 ГК РФ. </w:t>
      </w:r>
    </w:p>
    <w:p w14:paraId="6E29E500"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550433A" w14:textId="3D4A66C8"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Полномочия субъектов РФ по осуществлению региональной социальной доплаты к пенсии могут передаваться органам СФР</w:t>
      </w:r>
      <w:r w:rsidRPr="00995FB0">
        <w:rPr>
          <w:rFonts w:ascii="Times New Roman" w:eastAsia="Times New Roman" w:hAnsi="Times New Roman" w:cs="Times New Roman"/>
          <w:sz w:val="24"/>
          <w:szCs w:val="24"/>
          <w:lang w:eastAsia="ru-RU"/>
        </w:rPr>
        <w:t xml:space="preserve"> </w:t>
      </w:r>
    </w:p>
    <w:p w14:paraId="132FD759"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159DDE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В случае, если соответствующие полномочия на основании заключенных соглашений переданы Фонду, указанная доплата к пенсии осуществляется его территориальными органами в порядке, определяемом Правительством РФ. </w:t>
      </w:r>
    </w:p>
    <w:p w14:paraId="1FA25C0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Финансовое обеспечение расходов на выплату региональных социальных доплат в указанном случае будет осуществляться за счет межбюджетных трансфертов из федерального бюджета, а также бюджетных ассигнований бюджетов субъектов РФ. </w:t>
      </w:r>
    </w:p>
    <w:p w14:paraId="32B2520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Федеральный закон вступает в силу с 1 января 2026 года. </w:t>
      </w:r>
    </w:p>
    <w:p w14:paraId="7E021203"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079E8C3" w14:textId="4FE0FE00"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Дополнены направления деятельности Государственного фонда поддержки участников специальной военной операции "Защитники Отечества"</w:t>
      </w:r>
      <w:r w:rsidRPr="00995FB0">
        <w:rPr>
          <w:rFonts w:ascii="Times New Roman" w:eastAsia="Times New Roman" w:hAnsi="Times New Roman" w:cs="Times New Roman"/>
          <w:sz w:val="24"/>
          <w:szCs w:val="24"/>
          <w:lang w:eastAsia="ru-RU"/>
        </w:rPr>
        <w:t xml:space="preserve"> </w:t>
      </w:r>
    </w:p>
    <w:p w14:paraId="4FE35B6D"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175C27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Закреплено, что деятельность Фонда также направлена на организацию и оказание поддержки и помощи членам семей лиц, пропавших без вести в период участия в СВО либо признанных безвестно отсутствующими в связи с участием в СВО. </w:t>
      </w:r>
    </w:p>
    <w:p w14:paraId="6DB14D2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 гражданам Фонд оказывает психолого-психотерапевтическую помощь, содействие в получении мер социальной поддержки, услуг, бесплатной юридической помощи и во взаимодействии с органами власти, государственными и муниципальными организациями, некоммерческими организациями и добровольческими (волонтерскими) организациями содействие по вопросам, связанным с безвестным отсутствием участников СВО, в том числе касающимся проведения идентификационных генетических исследований. </w:t>
      </w:r>
    </w:p>
    <w:p w14:paraId="45E9C4C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Настоящий Указ вступает в силу со дня его подписания. </w:t>
      </w:r>
    </w:p>
    <w:p w14:paraId="342F10FC"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0CAB75B5" w14:textId="0CDC29BA"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Минфин определен федеральным органом исполнительной власти, обеспечивающим организацию научного и методического сопровождения формирования и исполнения государственного (муниципального) социального заказа на оказание государственных (муниципальных) услуг в социальной сфере</w:t>
      </w:r>
      <w:r w:rsidRPr="00995FB0">
        <w:rPr>
          <w:rFonts w:ascii="Times New Roman" w:eastAsia="Times New Roman" w:hAnsi="Times New Roman" w:cs="Times New Roman"/>
          <w:sz w:val="24"/>
          <w:szCs w:val="24"/>
          <w:lang w:eastAsia="ru-RU"/>
        </w:rPr>
        <w:t xml:space="preserve"> </w:t>
      </w:r>
    </w:p>
    <w:p w14:paraId="28CF5249"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D05F04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Реализованы положения статьи 7 Федерального закона от 13.07.2020 N 189-ФЗ "О государственном (муниципальном) социальном заказе на оказание государственных (муниципальных) услуг в социальной сфере". </w:t>
      </w:r>
    </w:p>
    <w:p w14:paraId="47DF7822"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3108DDC" w14:textId="5CB91987"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Определен порядок осуществления единовременной выплаты в связи с 80-й годовщиной Победы в Великой Отечественной войне 1941 - 1945 годов</w:t>
      </w:r>
      <w:r w:rsidRPr="00995FB0">
        <w:rPr>
          <w:rFonts w:ascii="Times New Roman" w:eastAsia="Times New Roman" w:hAnsi="Times New Roman" w:cs="Times New Roman"/>
          <w:sz w:val="24"/>
          <w:szCs w:val="24"/>
          <w:lang w:eastAsia="ru-RU"/>
        </w:rPr>
        <w:t xml:space="preserve"> </w:t>
      </w:r>
    </w:p>
    <w:p w14:paraId="0D1F2524"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730B8EA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Выплата полагается ветеранам и инвалидам Великой Отечественной войны, бывшим несовершеннолетним узникам концлагерей и некоторым иным категориям граждан. </w:t>
      </w:r>
    </w:p>
    <w:p w14:paraId="1D6C887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Размер такой выплаты составит 80 000 или 55 000 рублей, в зависимости от категории получателя. </w:t>
      </w:r>
    </w:p>
    <w:p w14:paraId="67BD0BE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Единовременная выплата будет осуществлена в апреле - мае 2025 года, за исключением установленных случаев, когда единовременная выплата может быть осуществлена позднее. </w:t>
      </w:r>
    </w:p>
    <w:p w14:paraId="5A7FB893"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70D8B6B1" w14:textId="2E1B9C2F"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Минтруд информирует об утверждении новых методических рекомендаций по сопровождаемому проживанию инвалидов, вступивших в силу с 1 марта 2025 года</w:t>
      </w:r>
      <w:r w:rsidRPr="00995FB0">
        <w:rPr>
          <w:rFonts w:ascii="Times New Roman" w:eastAsia="Times New Roman" w:hAnsi="Times New Roman" w:cs="Times New Roman"/>
          <w:sz w:val="24"/>
          <w:szCs w:val="24"/>
          <w:lang w:eastAsia="ru-RU"/>
        </w:rPr>
        <w:t xml:space="preserve"> </w:t>
      </w:r>
    </w:p>
    <w:p w14:paraId="44E59598"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0698189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Методические рекомендации утверждены приказом Минтруда от 25 февраля 2025 г. N 85. </w:t>
      </w:r>
    </w:p>
    <w:p w14:paraId="13F4058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с 1 марта 2025 года признаны утратившими силу методические рекомендации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 утвержденные приказом Минтруда от 14 декабря 2017 г. N 847, а также иные акты, затрагивающие различные аспекты формирования системы комплексной реабилитации и </w:t>
      </w:r>
      <w:proofErr w:type="spellStart"/>
      <w:r w:rsidRPr="00995FB0">
        <w:rPr>
          <w:rFonts w:ascii="Times New Roman" w:eastAsia="Times New Roman" w:hAnsi="Times New Roman" w:cs="Times New Roman"/>
          <w:sz w:val="24"/>
          <w:szCs w:val="24"/>
          <w:lang w:eastAsia="ru-RU"/>
        </w:rPr>
        <w:t>абилитации</w:t>
      </w:r>
      <w:proofErr w:type="spellEnd"/>
      <w:r w:rsidRPr="00995FB0">
        <w:rPr>
          <w:rFonts w:ascii="Times New Roman" w:eastAsia="Times New Roman" w:hAnsi="Times New Roman" w:cs="Times New Roman"/>
          <w:sz w:val="24"/>
          <w:szCs w:val="24"/>
          <w:lang w:eastAsia="ru-RU"/>
        </w:rPr>
        <w:t xml:space="preserve"> инвалидов, ранней помощи детям и их семьям. </w:t>
      </w:r>
    </w:p>
    <w:p w14:paraId="58E0154E" w14:textId="4D979AC5"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79E27BB" w14:textId="7A7BBBD7"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сообщает о порядке подтверждения права на социальный налоговый вычет по НДФЛ в сумме расходов по договорам добровольного страхования, предусматривающим оплату страховыми организациями медицинских услуг</w:t>
      </w:r>
      <w:r w:rsidRPr="00995FB0">
        <w:rPr>
          <w:rFonts w:ascii="Times New Roman" w:eastAsia="Times New Roman" w:hAnsi="Times New Roman" w:cs="Times New Roman"/>
          <w:sz w:val="24"/>
          <w:szCs w:val="24"/>
          <w:lang w:eastAsia="ru-RU"/>
        </w:rPr>
        <w:t xml:space="preserve"> </w:t>
      </w:r>
    </w:p>
    <w:p w14:paraId="7966F4F7"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63FE3DB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Речь идет о налоговом вычете, установленном подпунктом 3 пункта 1 статьи 219 НК РФ. </w:t>
      </w:r>
    </w:p>
    <w:p w14:paraId="2B9302A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Начиная с расходов, произведенных с 01.01.2024, подтверждением права на указанный налоговый вычет является Справка об уплате страховых взносов, представленная по форме, утвержденной приказом ФНС России от 12.10.2023 N БВ-7-11/736@. </w:t>
      </w:r>
    </w:p>
    <w:p w14:paraId="41D8B03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денежные средства на уплату страховых взносов были перечислены работодателем путем удержания этих сумм из заработной платы работника, в этом случае страховые организации должны выдавать налогоплательщикам Справки об уплате страховых взносов на основании представленных ими справок от работодателей об удержании соответствующих денежных средств из заработной платы работников. </w:t>
      </w:r>
    </w:p>
    <w:p w14:paraId="7E63538A" w14:textId="3269CDFE"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4A09E353" w14:textId="1828A1F6"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сообщает о необходимости организовать работу по формированию и направлению налогоплательщикам - физическим лицам заявлений о вынесении судебного приказа о взыскании задолженности в соответствии со статьей 48 НК РФ</w:t>
      </w:r>
      <w:r w:rsidRPr="00995FB0">
        <w:rPr>
          <w:rFonts w:ascii="Times New Roman" w:eastAsia="Times New Roman" w:hAnsi="Times New Roman" w:cs="Times New Roman"/>
          <w:sz w:val="24"/>
          <w:szCs w:val="24"/>
          <w:lang w:eastAsia="ru-RU"/>
        </w:rPr>
        <w:t xml:space="preserve"> </w:t>
      </w:r>
    </w:p>
    <w:p w14:paraId="7862B7C6"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25BDF7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Формирование заявлений и решений о взыскании задолженности осуществляется централизованно 1 раз в неделю, в соответствии с установленными графиками. </w:t>
      </w:r>
    </w:p>
    <w:p w14:paraId="2997BCC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Заявление доводится до сведения налогоплательщика в течение 10 календарных дней с даты его утверждения, с обязательным приложением решения о взыскании задолженности, уведомления об актуальном отрицательном сальдо ЕНС, подлежащем взысканию, и необходимого комплекта документов. </w:t>
      </w:r>
    </w:p>
    <w:p w14:paraId="3D3115A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Заявление о взыскании задолженности направляется в судебный орган в срок не позднее 20 календарных дней после даты утверждения проекта заявления о взыскании с обязательным приложением документов, подтверждающих факт отправки (передачи) копии заявления о взыскании налогоплательщику. </w:t>
      </w:r>
    </w:p>
    <w:p w14:paraId="1F1768F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даны поручения налоговым органам в целях осуществления контроля за полнотой и своевременностью утверждения и направления сформированных решений и заявлений о взыскании задолженности. </w:t>
      </w:r>
    </w:p>
    <w:p w14:paraId="60230E1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также, что действие директивы от 24.10.2023 N Д-5-08/57@ отменяется в связи с изданием настоящей директивы. </w:t>
      </w:r>
    </w:p>
    <w:p w14:paraId="3BE08F4D"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1BD741F6"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C0A467F" w14:textId="3DB0E674"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lastRenderedPageBreak/>
        <w:t>ФНС разъяснен порядок применения налоговых льгот участниками СВО и членами их семей</w:t>
      </w:r>
      <w:r w:rsidRPr="00995FB0">
        <w:rPr>
          <w:rFonts w:ascii="Times New Roman" w:eastAsia="Times New Roman" w:hAnsi="Times New Roman" w:cs="Times New Roman"/>
          <w:sz w:val="24"/>
          <w:szCs w:val="24"/>
          <w:lang w:eastAsia="ru-RU"/>
        </w:rPr>
        <w:t xml:space="preserve"> </w:t>
      </w:r>
    </w:p>
    <w:p w14:paraId="213F3E98"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28AF023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письме сообщается, в частности: </w:t>
      </w:r>
    </w:p>
    <w:p w14:paraId="5CF3F52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 категориях лиц, имеющих право на федеральную льготу, освобождающую от уплаты налога на имущество физических лиц по одному объекту капитального строительства определенного вида; </w:t>
      </w:r>
    </w:p>
    <w:p w14:paraId="1610D3D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 условиях применения льгот по транспортному и земельному налогам; </w:t>
      </w:r>
    </w:p>
    <w:p w14:paraId="1E9B2CC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 порядке направления заявления о праве на льготу и представлении подтверждающих документов. </w:t>
      </w:r>
    </w:p>
    <w:p w14:paraId="4210BF8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этом отмечено, что в случае, если гражданин не представил заявление или не сообщил об отказе от применения льготы, она предоставляется в </w:t>
      </w:r>
      <w:proofErr w:type="spellStart"/>
      <w:r w:rsidRPr="00995FB0">
        <w:rPr>
          <w:rFonts w:ascii="Times New Roman" w:eastAsia="Times New Roman" w:hAnsi="Times New Roman" w:cs="Times New Roman"/>
          <w:sz w:val="24"/>
          <w:szCs w:val="24"/>
          <w:lang w:eastAsia="ru-RU"/>
        </w:rPr>
        <w:t>беззаявительном</w:t>
      </w:r>
      <w:proofErr w:type="spellEnd"/>
      <w:r w:rsidRPr="00995FB0">
        <w:rPr>
          <w:rFonts w:ascii="Times New Roman" w:eastAsia="Times New Roman" w:hAnsi="Times New Roman" w:cs="Times New Roman"/>
          <w:sz w:val="24"/>
          <w:szCs w:val="24"/>
          <w:lang w:eastAsia="ru-RU"/>
        </w:rPr>
        <w:t xml:space="preserve"> (</w:t>
      </w:r>
      <w:proofErr w:type="spellStart"/>
      <w:r w:rsidRPr="00995FB0">
        <w:rPr>
          <w:rFonts w:ascii="Times New Roman" w:eastAsia="Times New Roman" w:hAnsi="Times New Roman" w:cs="Times New Roman"/>
          <w:sz w:val="24"/>
          <w:szCs w:val="24"/>
          <w:lang w:eastAsia="ru-RU"/>
        </w:rPr>
        <w:t>проактивном</w:t>
      </w:r>
      <w:proofErr w:type="spellEnd"/>
      <w:r w:rsidRPr="00995FB0">
        <w:rPr>
          <w:rFonts w:ascii="Times New Roman" w:eastAsia="Times New Roman" w:hAnsi="Times New Roman" w:cs="Times New Roman"/>
          <w:sz w:val="24"/>
          <w:szCs w:val="24"/>
          <w:lang w:eastAsia="ru-RU"/>
        </w:rPr>
        <w:t xml:space="preserve">) порядке, на основании сведений, полученных налоговым органом в порядке межведомственного взаимодействия. </w:t>
      </w:r>
    </w:p>
    <w:p w14:paraId="17918374"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6228D77" w14:textId="3AD884DD"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в случае гибели или уничтожения принадлежащего физлицу объекта недвижимости налогообложение прекращается с первого числа месяца, в котором он прекратил существование</w:t>
      </w:r>
      <w:r w:rsidRPr="00995FB0">
        <w:rPr>
          <w:rFonts w:ascii="Times New Roman" w:eastAsia="Times New Roman" w:hAnsi="Times New Roman" w:cs="Times New Roman"/>
          <w:sz w:val="24"/>
          <w:szCs w:val="24"/>
          <w:lang w:eastAsia="ru-RU"/>
        </w:rPr>
        <w:t xml:space="preserve"> </w:t>
      </w:r>
    </w:p>
    <w:p w14:paraId="6699DCFA"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369D80C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Налогоплательщик вправе представить заявление и документы, подтверждающие факт гибели или уничтожения объекта налогообложения. </w:t>
      </w:r>
    </w:p>
    <w:p w14:paraId="5362578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в налоговом органе такие документы отсутствуют, то по информации, указанной в заявлении, налоговый орган запрашивает необходимые сведения у органов и иных лиц, ими располагающими. </w:t>
      </w:r>
    </w:p>
    <w:p w14:paraId="7EC43B2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Сообщен примерный перечень запрашиваемых сведений, подтверждающих факт гибели (уничтожения) имущества. </w:t>
      </w:r>
    </w:p>
    <w:p w14:paraId="6F5FAB00" w14:textId="77777777" w:rsidR="00C6542E"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8530354" w14:textId="6E0FDA4F" w:rsidR="00995FB0" w:rsidRPr="00C6542E" w:rsidRDefault="00995FB0" w:rsidP="00C6542E">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C6542E">
        <w:rPr>
          <w:rFonts w:ascii="Times New Roman" w:eastAsia="Times New Roman" w:hAnsi="Times New Roman" w:cs="Times New Roman"/>
          <w:b/>
          <w:bCs/>
          <w:sz w:val="24"/>
          <w:szCs w:val="24"/>
          <w:lang w:eastAsia="ru-RU"/>
        </w:rPr>
        <w:t>Обновлены обязательные требования к обеспечению защиты информации в целях противодействия осуществлению переводов денежных средств без согласия клиента</w:t>
      </w:r>
      <w:r w:rsidRPr="00C6542E">
        <w:rPr>
          <w:rFonts w:ascii="Times New Roman" w:eastAsia="Times New Roman" w:hAnsi="Times New Roman" w:cs="Times New Roman"/>
          <w:sz w:val="24"/>
          <w:szCs w:val="24"/>
          <w:lang w:eastAsia="ru-RU"/>
        </w:rPr>
        <w:t xml:space="preserve"> </w:t>
      </w:r>
    </w:p>
    <w:p w14:paraId="53B39BA9"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67F69F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Требования применяются для обеспечения защиты: информации, содержащейся в составленных в электронном виде документах; информации, необходимой для авторизации клиентов; информации об осуществленных банковских операциях; информации, связанной с исполнением распоряжений пользователя платформы цифрового рубля; ключевой информации средств криптографической защиты информации (СКЗИ). </w:t>
      </w:r>
    </w:p>
    <w:p w14:paraId="7111EBE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Кредитные организации, филиалы иностранных банков должны формировать для клиентов рекомендации по защите информации от воздействия вредоносных кодов в целях противодействия осуществлению переводов денежных средств без согласия клиента. </w:t>
      </w:r>
    </w:p>
    <w:p w14:paraId="579399F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основании заявлений клиентов могут устанавливаться ограничения на осуществление операций либо ограничения максимальной суммы одной операции и (или) операций за определенный период времени. </w:t>
      </w:r>
    </w:p>
    <w:p w14:paraId="54876B0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Системно значимые КО, а также КО, значимые на рынке платежных услуг, должны обеспечить возможность использования мобильной версии приложения для приема заявлений клиентов-физлиц о каждом случае совершения операций без их согласия или с согласия клиента, полученного под влиянием обмана или при злоупотреблении доверием. </w:t>
      </w:r>
    </w:p>
    <w:p w14:paraId="6A21EFD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Положение вступает в силу по истечении 10 дней после дня его официального опубликования, за исключением отдельных положений, для которых установлены иные сроки вступления их в силу. </w:t>
      </w:r>
    </w:p>
    <w:p w14:paraId="32FBE8F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Признано утратившим силу Положение Банка России от 17 апреля 2019 года N 683-П. </w:t>
      </w:r>
    </w:p>
    <w:p w14:paraId="052468D4"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0D6497B" w14:textId="0E55CDA4" w:rsidR="00995FB0" w:rsidRPr="00C6542E" w:rsidRDefault="00995FB0" w:rsidP="00C6542E">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C6542E">
        <w:rPr>
          <w:rFonts w:ascii="Times New Roman" w:eastAsia="Times New Roman" w:hAnsi="Times New Roman" w:cs="Times New Roman"/>
          <w:b/>
          <w:bCs/>
          <w:sz w:val="24"/>
          <w:szCs w:val="24"/>
          <w:lang w:eastAsia="ru-RU"/>
        </w:rPr>
        <w:t>Банк России опять не стал изменять ключевую ставку и сохранил ее на уровне 21,00% годовых</w:t>
      </w:r>
      <w:r w:rsidRPr="00C6542E">
        <w:rPr>
          <w:rFonts w:ascii="Times New Roman" w:eastAsia="Times New Roman" w:hAnsi="Times New Roman" w:cs="Times New Roman"/>
          <w:sz w:val="24"/>
          <w:szCs w:val="24"/>
          <w:lang w:eastAsia="ru-RU"/>
        </w:rPr>
        <w:t xml:space="preserve"> </w:t>
      </w:r>
    </w:p>
    <w:p w14:paraId="17CDE3EE"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EA58E6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что текущее инфляционное давление снизилось, но остается высоким. Рост внутреннего спроса по-прежнему значительно опережает возможности расширения предложения товаров и услуг. Рост кредитования остается сдержанным, а сберегательная активность населения - высокой. По оценке Банка России, достигнутая жесткость денежно-кредитных условий формирует необходимые предпосылки для возвращения инфляции к цели в 2026 году. Для достижения цели по инфляции потребуется продолжительный период поддержания жестких денежно-кредитных условий в экономике. Если динамика </w:t>
      </w:r>
      <w:proofErr w:type="spellStart"/>
      <w:r w:rsidRPr="00995FB0">
        <w:rPr>
          <w:rFonts w:ascii="Times New Roman" w:eastAsia="Times New Roman" w:hAnsi="Times New Roman" w:cs="Times New Roman"/>
          <w:sz w:val="24"/>
          <w:szCs w:val="24"/>
          <w:lang w:eastAsia="ru-RU"/>
        </w:rPr>
        <w:t>дезинфляции</w:t>
      </w:r>
      <w:proofErr w:type="spellEnd"/>
      <w:r w:rsidRPr="00995FB0">
        <w:rPr>
          <w:rFonts w:ascii="Times New Roman" w:eastAsia="Times New Roman" w:hAnsi="Times New Roman" w:cs="Times New Roman"/>
          <w:sz w:val="24"/>
          <w:szCs w:val="24"/>
          <w:lang w:eastAsia="ru-RU"/>
        </w:rPr>
        <w:t xml:space="preserve"> не будет обеспечивать достижение цели, Банк России рассмотрит вопрос о повышении ключевой ставки. </w:t>
      </w:r>
    </w:p>
    <w:p w14:paraId="5055C716"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Следующее заседание Совета директоров Банка России, на котором будет рассматриваться вопрос об уровне ключевой ставки, запланировано на 25 апреля 2025 года. </w:t>
      </w:r>
    </w:p>
    <w:p w14:paraId="512FB28A" w14:textId="77777777" w:rsidR="00E0310E" w:rsidRDefault="00995FB0" w:rsidP="00E0310E">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w:t>
      </w:r>
    </w:p>
    <w:p w14:paraId="6A51EACE" w14:textId="13029729" w:rsidR="00995FB0" w:rsidRPr="00E0310E" w:rsidRDefault="00995FB0" w:rsidP="00E0310E">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E0310E">
        <w:rPr>
          <w:rFonts w:ascii="Times New Roman" w:eastAsia="Times New Roman" w:hAnsi="Times New Roman" w:cs="Times New Roman"/>
          <w:b/>
          <w:bCs/>
          <w:sz w:val="24"/>
          <w:szCs w:val="24"/>
          <w:lang w:eastAsia="ru-RU"/>
        </w:rPr>
        <w:t xml:space="preserve">Расширен функционал </w:t>
      </w:r>
      <w:proofErr w:type="spellStart"/>
      <w:r w:rsidRPr="00E0310E">
        <w:rPr>
          <w:rFonts w:ascii="Times New Roman" w:eastAsia="Times New Roman" w:hAnsi="Times New Roman" w:cs="Times New Roman"/>
          <w:b/>
          <w:bCs/>
          <w:sz w:val="24"/>
          <w:szCs w:val="24"/>
          <w:lang w:eastAsia="ru-RU"/>
        </w:rPr>
        <w:t>суперсервиса</w:t>
      </w:r>
      <w:proofErr w:type="spellEnd"/>
      <w:r w:rsidRPr="00E0310E">
        <w:rPr>
          <w:rFonts w:ascii="Times New Roman" w:eastAsia="Times New Roman" w:hAnsi="Times New Roman" w:cs="Times New Roman"/>
          <w:b/>
          <w:bCs/>
          <w:sz w:val="24"/>
          <w:szCs w:val="24"/>
          <w:lang w:eastAsia="ru-RU"/>
        </w:rPr>
        <w:t xml:space="preserve"> "Поступление в вуз онлайн"</w:t>
      </w:r>
      <w:r w:rsidRPr="00E0310E">
        <w:rPr>
          <w:rFonts w:ascii="Times New Roman" w:eastAsia="Times New Roman" w:hAnsi="Times New Roman" w:cs="Times New Roman"/>
          <w:sz w:val="24"/>
          <w:szCs w:val="24"/>
          <w:lang w:eastAsia="ru-RU"/>
        </w:rPr>
        <w:t xml:space="preserve"> </w:t>
      </w:r>
    </w:p>
    <w:p w14:paraId="63A9D01A"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3D1EC7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Внесенные изменения предусматривают возможность использования </w:t>
      </w:r>
      <w:proofErr w:type="spellStart"/>
      <w:r w:rsidRPr="00995FB0">
        <w:rPr>
          <w:rFonts w:ascii="Times New Roman" w:eastAsia="Times New Roman" w:hAnsi="Times New Roman" w:cs="Times New Roman"/>
          <w:sz w:val="24"/>
          <w:szCs w:val="24"/>
          <w:lang w:eastAsia="ru-RU"/>
        </w:rPr>
        <w:t>суперсервиса</w:t>
      </w:r>
      <w:proofErr w:type="spellEnd"/>
      <w:r w:rsidRPr="00995FB0">
        <w:rPr>
          <w:rFonts w:ascii="Times New Roman" w:eastAsia="Times New Roman" w:hAnsi="Times New Roman" w:cs="Times New Roman"/>
          <w:sz w:val="24"/>
          <w:szCs w:val="24"/>
          <w:lang w:eastAsia="ru-RU"/>
        </w:rPr>
        <w:t xml:space="preserve"> в целях организации приема граждан для обучения по образовательным программам среднего профессионального образования. </w:t>
      </w:r>
    </w:p>
    <w:p w14:paraId="7769926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Расширены полномочия некоторых государственных органов, обеспечивающих функционирование </w:t>
      </w:r>
      <w:proofErr w:type="spellStart"/>
      <w:r w:rsidRPr="00995FB0">
        <w:rPr>
          <w:rFonts w:ascii="Times New Roman" w:eastAsia="Times New Roman" w:hAnsi="Times New Roman" w:cs="Times New Roman"/>
          <w:sz w:val="24"/>
          <w:szCs w:val="24"/>
          <w:lang w:eastAsia="ru-RU"/>
        </w:rPr>
        <w:t>суперсервиса</w:t>
      </w:r>
      <w:proofErr w:type="spellEnd"/>
      <w:r w:rsidRPr="00995FB0">
        <w:rPr>
          <w:rFonts w:ascii="Times New Roman" w:eastAsia="Times New Roman" w:hAnsi="Times New Roman" w:cs="Times New Roman"/>
          <w:sz w:val="24"/>
          <w:szCs w:val="24"/>
          <w:lang w:eastAsia="ru-RU"/>
        </w:rPr>
        <w:t xml:space="preserve"> в рамках приемной кампании. </w:t>
      </w:r>
    </w:p>
    <w:p w14:paraId="28227F5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постановлением дополнен перечень лиц, на которые не распространяется действие постановления о </w:t>
      </w:r>
      <w:proofErr w:type="spellStart"/>
      <w:r w:rsidRPr="00995FB0">
        <w:rPr>
          <w:rFonts w:ascii="Times New Roman" w:eastAsia="Times New Roman" w:hAnsi="Times New Roman" w:cs="Times New Roman"/>
          <w:sz w:val="24"/>
          <w:szCs w:val="24"/>
          <w:lang w:eastAsia="ru-RU"/>
        </w:rPr>
        <w:t>суперсервисе</w:t>
      </w:r>
      <w:proofErr w:type="spellEnd"/>
      <w:r w:rsidRPr="00995FB0">
        <w:rPr>
          <w:rFonts w:ascii="Times New Roman" w:eastAsia="Times New Roman" w:hAnsi="Times New Roman" w:cs="Times New Roman"/>
          <w:sz w:val="24"/>
          <w:szCs w:val="24"/>
          <w:lang w:eastAsia="ru-RU"/>
        </w:rPr>
        <w:t xml:space="preserve">. </w:t>
      </w:r>
    </w:p>
    <w:p w14:paraId="4E7B10AE"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623BBD46" w14:textId="05B53F71"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Уточняется порядок перевода обучающихся из одной школы в другую</w:t>
      </w:r>
      <w:r w:rsidRPr="005409D8">
        <w:rPr>
          <w:rFonts w:ascii="Times New Roman" w:eastAsia="Times New Roman" w:hAnsi="Times New Roman" w:cs="Times New Roman"/>
          <w:sz w:val="24"/>
          <w:szCs w:val="24"/>
          <w:lang w:eastAsia="ru-RU"/>
        </w:rPr>
        <w:t xml:space="preserve"> </w:t>
      </w:r>
    </w:p>
    <w:p w14:paraId="28D90D02"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52884EC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закреплена возможность направления заявления о зачислении обучающегося в принимающую организацию в порядке перевода из исходной организации в электронной форме посредством Единого портала госуслуг, а также сервисов региональных информационных систем, в случае перевода по собственной инициативе совершеннолетнего обучающегося или по инициативе родителей несовершеннолетнего обучающегося. </w:t>
      </w:r>
    </w:p>
    <w:p w14:paraId="52424EF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предусмотрена возможность уведомления в электронной форме (с использованием Единого портала госуслуг или сервисов региональных информационных систем) исходной организации о зачислении обучающегося в принимающую организацию или о предстоящем переводе в связи с прекращением деятельности исходной организации. </w:t>
      </w:r>
    </w:p>
    <w:p w14:paraId="54DCB93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Настоящий приказ действует до 1 сентября 2029 года. </w:t>
      </w:r>
    </w:p>
    <w:p w14:paraId="32BB52FF"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76BC173" w14:textId="163D2C27"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Утверждена концепция реализации проекта "Цифровые кафедры" вузами - участниками программы стратегического академического лидерства "Приоритет-2030"</w:t>
      </w:r>
      <w:r w:rsidRPr="005409D8">
        <w:rPr>
          <w:rFonts w:ascii="Times New Roman" w:eastAsia="Times New Roman" w:hAnsi="Times New Roman" w:cs="Times New Roman"/>
          <w:sz w:val="24"/>
          <w:szCs w:val="24"/>
          <w:lang w:eastAsia="ru-RU"/>
        </w:rPr>
        <w:t xml:space="preserve"> </w:t>
      </w:r>
    </w:p>
    <w:p w14:paraId="5BE9373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04278534"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Цель проекта "Цифровые кафедры" - обеспечение приоритетных отраслей экономики высококвалифицированными кадрами, обладающими цифровыми компетенциями. </w:t>
      </w:r>
    </w:p>
    <w:p w14:paraId="7B2DCA9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Обучение на "цифровых кафедрах" проводится по дополнительным профессиональным программам профессиональной переподготовки ИТ-профиля одновременно с обучением по образовательным программам высшего образования или по ИТ-модулям, реализуемым в рамках образовательных программ высшего образования, предусматривающих получение нескольких квалификаций, в том числе в сфере информационных технологий. </w:t>
      </w:r>
    </w:p>
    <w:p w14:paraId="26C1231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"цифровых кафедрах" проводится обучение студентов, обучающихся по специальностям и направлениям подготовки, которые в соответствии с концепцией не относятся к ИТ-сфере (перечень специальностей и направлений подготовки высшего образования, отнесенных к ИТ-сфере, приведен в приложении к настоящему приказу). Предусмотрено, что один обучающийся может получить дополнительную ИТ-квалификацию на "цифровой кафедре" не более одного раза. </w:t>
      </w:r>
    </w:p>
    <w:p w14:paraId="5A6C4AD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 освоению дополнительных профессиональных программ профессиональной переподготовки допускаются обучающиеся по программам бакалавриата и программам специалитета, начиная со 2 курса, а также обучающиеся по программам магистратуры, начиная с 1 курса. </w:t>
      </w:r>
    </w:p>
    <w:p w14:paraId="077F6B34"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3E40689B" w14:textId="4244E80E"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 порядок проведения тестирования детей иностранцев на знание русского языка при их приеме в школы</w:t>
      </w:r>
      <w:r w:rsidRPr="005409D8">
        <w:rPr>
          <w:rFonts w:ascii="Times New Roman" w:eastAsia="Times New Roman" w:hAnsi="Times New Roman" w:cs="Times New Roman"/>
          <w:sz w:val="24"/>
          <w:szCs w:val="24"/>
          <w:lang w:eastAsia="ru-RU"/>
        </w:rPr>
        <w:t xml:space="preserve"> </w:t>
      </w:r>
    </w:p>
    <w:p w14:paraId="47F9DD6C"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0352A100"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проводится в государственных и муниципальных общеобразовательных организациях, определяемых исполнительными органами субъектов РФ, осуществляющими государственное управление в сфере образования. </w:t>
      </w:r>
    </w:p>
    <w:p w14:paraId="13F71D9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на основании направления, полученного в соответствии с пунктом 23(1) Порядка приема на обучение по образовательным программам начального общего, основного общего и среднего общего образования, утвержденного приказом </w:t>
      </w:r>
      <w:proofErr w:type="spellStart"/>
      <w:r w:rsidRPr="00995FB0">
        <w:rPr>
          <w:rFonts w:ascii="Times New Roman" w:eastAsia="Times New Roman" w:hAnsi="Times New Roman" w:cs="Times New Roman"/>
          <w:sz w:val="24"/>
          <w:szCs w:val="24"/>
          <w:lang w:eastAsia="ru-RU"/>
        </w:rPr>
        <w:t>Минпросвещения</w:t>
      </w:r>
      <w:proofErr w:type="spellEnd"/>
      <w:r w:rsidRPr="00995FB0">
        <w:rPr>
          <w:rFonts w:ascii="Times New Roman" w:eastAsia="Times New Roman" w:hAnsi="Times New Roman" w:cs="Times New Roman"/>
          <w:sz w:val="24"/>
          <w:szCs w:val="24"/>
          <w:lang w:eastAsia="ru-RU"/>
        </w:rPr>
        <w:t xml:space="preserve"> от 2 сентября 2020 г. N 458. </w:t>
      </w:r>
    </w:p>
    <w:p w14:paraId="0A372A97"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в устной и письменной форме, за исключением иностранных граждан, проходящих тестирование на знание русского языка при поступлении в 1 класс, для которых указанное тестирование проводится в устной форме. </w:t>
      </w:r>
    </w:p>
    <w:p w14:paraId="01698939"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по годам обучения. Продолжительность его проведения - не более 80 минут. </w:t>
      </w:r>
    </w:p>
    <w:p w14:paraId="48C2032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тестировании иностранному гражданину запрещается: </w:t>
      </w:r>
    </w:p>
    <w:p w14:paraId="5600F3BF"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пользоваться подсказками работников тестирующей организации, а также иностранных граждан, проходящих тестирование; </w:t>
      </w:r>
    </w:p>
    <w:p w14:paraId="7D93CB3D"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пользоваться средствами связи, фото-, аудио- и видеоаппаратурой, электронно-вычислительной техникой, справочными материалами, письменными заметками и иными средствами хранения и передачи информации, за исключением их использования в целях тестирования. </w:t>
      </w:r>
    </w:p>
    <w:p w14:paraId="29E8CFBC"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Настоящий приказ вступает в силу с 1 апреля 2025 года. </w:t>
      </w:r>
    </w:p>
    <w:p w14:paraId="63761A6A"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8823E3C" w14:textId="176C5CBF"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Уточняется порядок предоставления единовременных компенсационных выплат медицинским работникам, прибывшим на работу в военно-медицинские подразделения и воинские части ВС РФ</w:t>
      </w:r>
      <w:r w:rsidRPr="005409D8">
        <w:rPr>
          <w:rFonts w:ascii="Times New Roman" w:eastAsia="Times New Roman" w:hAnsi="Times New Roman" w:cs="Times New Roman"/>
          <w:sz w:val="24"/>
          <w:szCs w:val="24"/>
          <w:lang w:eastAsia="ru-RU"/>
        </w:rPr>
        <w:t xml:space="preserve"> </w:t>
      </w:r>
    </w:p>
    <w:p w14:paraId="279A5386"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6015C2F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скорректированы условия предоставления единовременной компенсационной выплаты. Так, дополнительным условием ее предоставления является отсутствие неисполненных финансовых обязательств по договору о целевом обучении, заключенному с Минобороны. Кроме этого, единовременную компенсационную выплату может получить медицинский работник, исполнивший обязательства по договору о целевом обучении, заключенному с Минобороны, и продолжающий трудовые отношения с той же медицинской организацией. </w:t>
      </w:r>
    </w:p>
    <w:p w14:paraId="3DE5108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закреплена возможность перевода медицинского работника на другую должность внутри одной медицинской организации и перевода в другую медицинскую организацию, расположенную на предусмотренных постановлением Правительства РФ от 11 мая 2023 г. N 738 территориях, с сохранением единовременной компенсационной выплаты. </w:t>
      </w:r>
    </w:p>
    <w:p w14:paraId="17B84851"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245E31E6" w14:textId="5FB09114"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 Кодекс этики применения искусственного интеллекта в сфере охраны здоровья</w:t>
      </w:r>
      <w:r w:rsidRPr="005409D8">
        <w:rPr>
          <w:rFonts w:ascii="Times New Roman" w:eastAsia="Times New Roman" w:hAnsi="Times New Roman" w:cs="Times New Roman"/>
          <w:sz w:val="24"/>
          <w:szCs w:val="24"/>
          <w:lang w:eastAsia="ru-RU"/>
        </w:rPr>
        <w:t xml:space="preserve"> </w:t>
      </w:r>
    </w:p>
    <w:p w14:paraId="4CAD10AE"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B0ACDA2"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Положения настоящего Кодекса рассчитаны на системы искусственного интеллекта (далее - СИИ), применяемые исключительно в сфере охраны здоровья граждан при оказании медицинской помощи в части профилактики, диагностики, лечения и иных действий в сфере здравоохранения РФ. </w:t>
      </w:r>
    </w:p>
    <w:p w14:paraId="087F70A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Положения Кодекса распространяются на все лица, принимающие участие в жизненном цикле СИИ при его реализации на территории РФ, и лица, находящиеся на территории РФ, в отношении которых применяется СИИ, включая предоставление товаров и оказание услуг. К таким лицам относятся в том числе: разработчики, производители, уполномоченные представители производителей, заказчики, владельцы, операторы и поставщики данных, пользователи, лица, принимающие участие в регуляторном воздействии на сферу ИИ, в том числе разработчики нормативно-технических документов, руководств, различных регуляторных положений, требований и стандартов в области ИИ (регулятор), иные лица, действия которых потенциально могут повлиять на результаты действий СИИ или лиц, принимающих решения с использованием СИИ. </w:t>
      </w:r>
    </w:p>
    <w:p w14:paraId="1C10CAD9"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FC5C1D3" w14:textId="5F96A912"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Упрощена процедура возбуждения уголовного дела о преступлении, дополнительно выявленном в связи с расследуемым уголовным делом</w:t>
      </w:r>
      <w:r w:rsidRPr="005409D8">
        <w:rPr>
          <w:rFonts w:ascii="Times New Roman" w:eastAsia="Times New Roman" w:hAnsi="Times New Roman" w:cs="Times New Roman"/>
          <w:sz w:val="24"/>
          <w:szCs w:val="24"/>
          <w:lang w:eastAsia="ru-RU"/>
        </w:rPr>
        <w:t xml:space="preserve"> </w:t>
      </w:r>
    </w:p>
    <w:p w14:paraId="40A9A80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49DCD8B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в случае, если в ходе предварительного расследования становится известно о совершении нового преступления, отнесенного к подследственности того же органа предварительного расследования, и при наличии оснований для соединения </w:t>
      </w:r>
      <w:r w:rsidRPr="00995FB0">
        <w:rPr>
          <w:rFonts w:ascii="Times New Roman" w:eastAsia="Times New Roman" w:hAnsi="Times New Roman" w:cs="Times New Roman"/>
          <w:sz w:val="24"/>
          <w:szCs w:val="24"/>
          <w:lang w:eastAsia="ru-RU"/>
        </w:rPr>
        <w:lastRenderedPageBreak/>
        <w:t xml:space="preserve">уголовных дел, предусмотренных частями первой и второй статьи 153 УПК РФ, следователь, дознаватель вправе без выделения в отдельное производство материалов возбудить уголовное дело, которое соединяется с расследуемым уголовным делом в соответствии с частью третьей статьи 153 УПК РФ. </w:t>
      </w:r>
    </w:p>
    <w:p w14:paraId="3872708B"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61B2ABF" w14:textId="21FC3920"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Расширен перечень мер предварительной защиты по административному иску об оспаривании нормативного правового акта</w:t>
      </w:r>
      <w:r w:rsidRPr="005409D8">
        <w:rPr>
          <w:rFonts w:ascii="Times New Roman" w:eastAsia="Times New Roman" w:hAnsi="Times New Roman" w:cs="Times New Roman"/>
          <w:sz w:val="24"/>
          <w:szCs w:val="24"/>
          <w:lang w:eastAsia="ru-RU"/>
        </w:rPr>
        <w:t xml:space="preserve"> </w:t>
      </w:r>
    </w:p>
    <w:p w14:paraId="6B43D0BA"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43CC5BD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Реализовано Постановление Конституционного Суда РФ от 11.04.2024 N 17-П "По делу о проверке конституционности статьи 85, части 4 статьи 87 и статьи 211 Кодекса административного судопроизводства Российской Федерации в связи с жалобой гражданина Д.В. Сергеева". </w:t>
      </w:r>
    </w:p>
    <w:p w14:paraId="6C677A7A" w14:textId="71F392AD"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14:paraId="58D28C49" w14:textId="283C5FC5"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Верховным Судом представлен обзор практики межгосударственных органов по защите прав и основных свобод человека N 5 (2025)</w:t>
      </w:r>
      <w:r w:rsidRPr="005409D8">
        <w:rPr>
          <w:rFonts w:ascii="Times New Roman" w:eastAsia="Times New Roman" w:hAnsi="Times New Roman" w:cs="Times New Roman"/>
          <w:sz w:val="24"/>
          <w:szCs w:val="24"/>
          <w:lang w:eastAsia="ru-RU"/>
        </w:rPr>
        <w:t xml:space="preserve"> </w:t>
      </w:r>
    </w:p>
    <w:p w14:paraId="205CB100"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99E9A35"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Обзор включает в себя практику в сфере административно-правовых отношений (в частности, право на уважение личной жизни и право избирать и быть избранным), а также в сфере уголовно-процессуальных отношений (в частности, право на эффективное расследование случаев применения пыток, иного недопустимого обращения, право на разумные сроки судебного разбирательства). </w:t>
      </w:r>
    </w:p>
    <w:p w14:paraId="748EA4E3"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судам необходимо при рассмотрении административных, гражданских дел, дел по разрешению экономических споров, уголовных и иных дел учитывать правовые позиции, сформулированные межгосударственными органами по защите прав и свобод человека. </w:t>
      </w:r>
    </w:p>
    <w:p w14:paraId="72335B71" w14:textId="32D7320B"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Комиссией по этике и стандартам ФПА РФ даны разъяснения по отдельным вопросам, связанным со сроками рассмотрения дисциплинарных дел в отношении адвокатов</w:t>
      </w:r>
      <w:r w:rsidRPr="005409D8">
        <w:rPr>
          <w:rFonts w:ascii="Times New Roman" w:eastAsia="Times New Roman" w:hAnsi="Times New Roman" w:cs="Times New Roman"/>
          <w:sz w:val="24"/>
          <w:szCs w:val="24"/>
          <w:lang w:eastAsia="ru-RU"/>
        </w:rPr>
        <w:t xml:space="preserve"> </w:t>
      </w:r>
    </w:p>
    <w:p w14:paraId="374804FF" w14:textId="77777777"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14:paraId="11DF102E"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Разъяснено следующее: </w:t>
      </w:r>
    </w:p>
    <w:p w14:paraId="357C7021"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в случае отмены, в том числе в судебном порядке, решения о прекращении статуса адвоката совет адвокатской палаты субъекта РФ возобновляет рассмотрение снятого с рассмотрения дисциплинарного дела (возобновляет прекращенное дисциплинарное производство) и принимает по нему одно из решений, предусмотренных пунктом 1 статьи 25 Кодекса профессиональной этики адвоката; </w:t>
      </w:r>
    </w:p>
    <w:p w14:paraId="01E67D68"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рассмотрение советом адвокатской палаты субъекта РФ дисциплинарного дела в течение срока, превышающего установленный двухмесячный срок, равно как и рассмотрение квалификационной комиссией дисциплинарного дела в течение срока, превышающего двухмесячный срок, не является основанием для прекращения дисциплинарного производства или для отмены вынесенного по нему заключения квалификационной комиссии либо принятого по нему решения совета адвокатской палаты субъекта РФ; </w:t>
      </w:r>
    </w:p>
    <w:p w14:paraId="0265A2FA" w14:textId="77777777"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если вследствие выхода органов адвокатской палаты субъекта РФ за пределы какого-либо из указанных двухмесячных сроков к моменту принятия решения по дисциплинарному делу истек срок применения к адвокату мер дисциплинарной ответственности, установленный пунктом 5 статьи 18 Кодекса профессиональной этики адвоката, то </w:t>
      </w:r>
      <w:r w:rsidRPr="00995FB0">
        <w:rPr>
          <w:rFonts w:ascii="Times New Roman" w:eastAsia="Times New Roman" w:hAnsi="Times New Roman" w:cs="Times New Roman"/>
          <w:sz w:val="24"/>
          <w:szCs w:val="24"/>
          <w:lang w:eastAsia="ru-RU"/>
        </w:rPr>
        <w:lastRenderedPageBreak/>
        <w:t xml:space="preserve">дисциплинарное производство подлежит прекращению по основанию, предусмотренному подпунктом 6 пункта 1 статьи 25 Кодекса профессиональной этики адвоката. </w:t>
      </w:r>
    </w:p>
    <w:p w14:paraId="1029FA09" w14:textId="77777777"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sectPr w:rsidR="00995FB0" w:rsidRPr="00995F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4006D"/>
    <w:multiLevelType w:val="hybridMultilevel"/>
    <w:tmpl w:val="F6B4E00E"/>
    <w:lvl w:ilvl="0" w:tplc="B10C98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47A"/>
    <w:rsid w:val="0001618B"/>
    <w:rsid w:val="005409D8"/>
    <w:rsid w:val="008F447A"/>
    <w:rsid w:val="00995FB0"/>
    <w:rsid w:val="00C6542E"/>
    <w:rsid w:val="00D60B2D"/>
    <w:rsid w:val="00E0310E"/>
    <w:rsid w:val="00E172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FE72"/>
  <w15:chartTrackingRefBased/>
  <w15:docId w15:val="{70FA3488-56B9-4FCD-BACD-69E94310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95FB0"/>
  </w:style>
  <w:style w:type="paragraph" w:customStyle="1" w:styleId="msonormal0">
    <w:name w:val="msonormal"/>
    <w:basedOn w:val="a"/>
    <w:rsid w:val="00995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95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95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659184">
      <w:bodyDiv w:val="1"/>
      <w:marLeft w:val="0"/>
      <w:marRight w:val="0"/>
      <w:marTop w:val="0"/>
      <w:marBottom w:val="0"/>
      <w:divBdr>
        <w:top w:val="none" w:sz="0" w:space="0" w:color="auto"/>
        <w:left w:val="none" w:sz="0" w:space="0" w:color="auto"/>
        <w:bottom w:val="none" w:sz="0" w:space="0" w:color="auto"/>
        <w:right w:val="none" w:sz="0" w:space="0" w:color="auto"/>
      </w:divBdr>
      <w:divsChild>
        <w:div w:id="255751816">
          <w:marLeft w:val="0"/>
          <w:marRight w:val="0"/>
          <w:marTop w:val="0"/>
          <w:marBottom w:val="0"/>
          <w:divBdr>
            <w:top w:val="none" w:sz="0" w:space="0" w:color="auto"/>
            <w:left w:val="none" w:sz="0" w:space="0" w:color="auto"/>
            <w:bottom w:val="none" w:sz="0" w:space="0" w:color="auto"/>
            <w:right w:val="none" w:sz="0" w:space="0" w:color="auto"/>
          </w:divBdr>
        </w:div>
        <w:div w:id="672755316">
          <w:marLeft w:val="0"/>
          <w:marRight w:val="0"/>
          <w:marTop w:val="0"/>
          <w:marBottom w:val="0"/>
          <w:divBdr>
            <w:top w:val="none" w:sz="0" w:space="0" w:color="auto"/>
            <w:left w:val="none" w:sz="0" w:space="0" w:color="auto"/>
            <w:bottom w:val="none" w:sz="0" w:space="0" w:color="auto"/>
            <w:right w:val="none" w:sz="0" w:space="0" w:color="auto"/>
          </w:divBdr>
        </w:div>
        <w:div w:id="291132107">
          <w:marLeft w:val="0"/>
          <w:marRight w:val="0"/>
          <w:marTop w:val="0"/>
          <w:marBottom w:val="0"/>
          <w:divBdr>
            <w:top w:val="none" w:sz="0" w:space="0" w:color="auto"/>
            <w:left w:val="none" w:sz="0" w:space="0" w:color="auto"/>
            <w:bottom w:val="none" w:sz="0" w:space="0" w:color="auto"/>
            <w:right w:val="none" w:sz="0" w:space="0" w:color="auto"/>
          </w:divBdr>
        </w:div>
        <w:div w:id="1028287990">
          <w:marLeft w:val="0"/>
          <w:marRight w:val="0"/>
          <w:marTop w:val="0"/>
          <w:marBottom w:val="0"/>
          <w:divBdr>
            <w:top w:val="none" w:sz="0" w:space="0" w:color="auto"/>
            <w:left w:val="none" w:sz="0" w:space="0" w:color="auto"/>
            <w:bottom w:val="none" w:sz="0" w:space="0" w:color="auto"/>
            <w:right w:val="none" w:sz="0" w:space="0" w:color="auto"/>
          </w:divBdr>
        </w:div>
        <w:div w:id="1086339364">
          <w:marLeft w:val="0"/>
          <w:marRight w:val="0"/>
          <w:marTop w:val="0"/>
          <w:marBottom w:val="0"/>
          <w:divBdr>
            <w:top w:val="none" w:sz="0" w:space="0" w:color="auto"/>
            <w:left w:val="none" w:sz="0" w:space="0" w:color="auto"/>
            <w:bottom w:val="none" w:sz="0" w:space="0" w:color="auto"/>
            <w:right w:val="none" w:sz="0" w:space="0" w:color="auto"/>
          </w:divBdr>
        </w:div>
        <w:div w:id="132335025">
          <w:marLeft w:val="0"/>
          <w:marRight w:val="0"/>
          <w:marTop w:val="0"/>
          <w:marBottom w:val="0"/>
          <w:divBdr>
            <w:top w:val="none" w:sz="0" w:space="0" w:color="auto"/>
            <w:left w:val="none" w:sz="0" w:space="0" w:color="auto"/>
            <w:bottom w:val="none" w:sz="0" w:space="0" w:color="auto"/>
            <w:right w:val="none" w:sz="0" w:space="0" w:color="auto"/>
          </w:divBdr>
        </w:div>
        <w:div w:id="652561061">
          <w:marLeft w:val="0"/>
          <w:marRight w:val="0"/>
          <w:marTop w:val="0"/>
          <w:marBottom w:val="0"/>
          <w:divBdr>
            <w:top w:val="none" w:sz="0" w:space="0" w:color="auto"/>
            <w:left w:val="none" w:sz="0" w:space="0" w:color="auto"/>
            <w:bottom w:val="none" w:sz="0" w:space="0" w:color="auto"/>
            <w:right w:val="none" w:sz="0" w:space="0" w:color="auto"/>
          </w:divBdr>
        </w:div>
        <w:div w:id="499855899">
          <w:marLeft w:val="0"/>
          <w:marRight w:val="0"/>
          <w:marTop w:val="0"/>
          <w:marBottom w:val="0"/>
          <w:divBdr>
            <w:top w:val="none" w:sz="0" w:space="0" w:color="auto"/>
            <w:left w:val="none" w:sz="0" w:space="0" w:color="auto"/>
            <w:bottom w:val="none" w:sz="0" w:space="0" w:color="auto"/>
            <w:right w:val="none" w:sz="0" w:space="0" w:color="auto"/>
          </w:divBdr>
        </w:div>
        <w:div w:id="1156265151">
          <w:marLeft w:val="0"/>
          <w:marRight w:val="0"/>
          <w:marTop w:val="0"/>
          <w:marBottom w:val="0"/>
          <w:divBdr>
            <w:top w:val="none" w:sz="0" w:space="0" w:color="auto"/>
            <w:left w:val="none" w:sz="0" w:space="0" w:color="auto"/>
            <w:bottom w:val="none" w:sz="0" w:space="0" w:color="auto"/>
            <w:right w:val="none" w:sz="0" w:space="0" w:color="auto"/>
          </w:divBdr>
        </w:div>
        <w:div w:id="186798325">
          <w:marLeft w:val="0"/>
          <w:marRight w:val="0"/>
          <w:marTop w:val="0"/>
          <w:marBottom w:val="0"/>
          <w:divBdr>
            <w:top w:val="none" w:sz="0" w:space="0" w:color="auto"/>
            <w:left w:val="none" w:sz="0" w:space="0" w:color="auto"/>
            <w:bottom w:val="none" w:sz="0" w:space="0" w:color="auto"/>
            <w:right w:val="none" w:sz="0" w:space="0" w:color="auto"/>
          </w:divBdr>
        </w:div>
        <w:div w:id="560362372">
          <w:marLeft w:val="0"/>
          <w:marRight w:val="0"/>
          <w:marTop w:val="0"/>
          <w:marBottom w:val="0"/>
          <w:divBdr>
            <w:top w:val="none" w:sz="0" w:space="0" w:color="auto"/>
            <w:left w:val="none" w:sz="0" w:space="0" w:color="auto"/>
            <w:bottom w:val="none" w:sz="0" w:space="0" w:color="auto"/>
            <w:right w:val="none" w:sz="0" w:space="0" w:color="auto"/>
          </w:divBdr>
        </w:div>
        <w:div w:id="1562718553">
          <w:marLeft w:val="0"/>
          <w:marRight w:val="0"/>
          <w:marTop w:val="0"/>
          <w:marBottom w:val="0"/>
          <w:divBdr>
            <w:top w:val="none" w:sz="0" w:space="0" w:color="auto"/>
            <w:left w:val="none" w:sz="0" w:space="0" w:color="auto"/>
            <w:bottom w:val="none" w:sz="0" w:space="0" w:color="auto"/>
            <w:right w:val="none" w:sz="0" w:space="0" w:color="auto"/>
          </w:divBdr>
        </w:div>
        <w:div w:id="478769813">
          <w:marLeft w:val="0"/>
          <w:marRight w:val="0"/>
          <w:marTop w:val="0"/>
          <w:marBottom w:val="0"/>
          <w:divBdr>
            <w:top w:val="none" w:sz="0" w:space="0" w:color="auto"/>
            <w:left w:val="none" w:sz="0" w:space="0" w:color="auto"/>
            <w:bottom w:val="none" w:sz="0" w:space="0" w:color="auto"/>
            <w:right w:val="none" w:sz="0" w:space="0" w:color="auto"/>
          </w:divBdr>
        </w:div>
        <w:div w:id="1415787231">
          <w:marLeft w:val="0"/>
          <w:marRight w:val="0"/>
          <w:marTop w:val="0"/>
          <w:marBottom w:val="0"/>
          <w:divBdr>
            <w:top w:val="none" w:sz="0" w:space="0" w:color="auto"/>
            <w:left w:val="none" w:sz="0" w:space="0" w:color="auto"/>
            <w:bottom w:val="none" w:sz="0" w:space="0" w:color="auto"/>
            <w:right w:val="none" w:sz="0" w:space="0" w:color="auto"/>
          </w:divBdr>
        </w:div>
        <w:div w:id="373575849">
          <w:marLeft w:val="0"/>
          <w:marRight w:val="0"/>
          <w:marTop w:val="0"/>
          <w:marBottom w:val="0"/>
          <w:divBdr>
            <w:top w:val="none" w:sz="0" w:space="0" w:color="auto"/>
            <w:left w:val="none" w:sz="0" w:space="0" w:color="auto"/>
            <w:bottom w:val="none" w:sz="0" w:space="0" w:color="auto"/>
            <w:right w:val="none" w:sz="0" w:space="0" w:color="auto"/>
          </w:divBdr>
        </w:div>
        <w:div w:id="576521301">
          <w:marLeft w:val="0"/>
          <w:marRight w:val="0"/>
          <w:marTop w:val="0"/>
          <w:marBottom w:val="0"/>
          <w:divBdr>
            <w:top w:val="none" w:sz="0" w:space="0" w:color="auto"/>
            <w:left w:val="none" w:sz="0" w:space="0" w:color="auto"/>
            <w:bottom w:val="none" w:sz="0" w:space="0" w:color="auto"/>
            <w:right w:val="none" w:sz="0" w:space="0" w:color="auto"/>
          </w:divBdr>
        </w:div>
        <w:div w:id="137650372">
          <w:marLeft w:val="0"/>
          <w:marRight w:val="0"/>
          <w:marTop w:val="0"/>
          <w:marBottom w:val="0"/>
          <w:divBdr>
            <w:top w:val="none" w:sz="0" w:space="0" w:color="auto"/>
            <w:left w:val="none" w:sz="0" w:space="0" w:color="auto"/>
            <w:bottom w:val="none" w:sz="0" w:space="0" w:color="auto"/>
            <w:right w:val="none" w:sz="0" w:space="0" w:color="auto"/>
          </w:divBdr>
        </w:div>
        <w:div w:id="862861657">
          <w:marLeft w:val="0"/>
          <w:marRight w:val="0"/>
          <w:marTop w:val="0"/>
          <w:marBottom w:val="0"/>
          <w:divBdr>
            <w:top w:val="none" w:sz="0" w:space="0" w:color="auto"/>
            <w:left w:val="none" w:sz="0" w:space="0" w:color="auto"/>
            <w:bottom w:val="none" w:sz="0" w:space="0" w:color="auto"/>
            <w:right w:val="none" w:sz="0" w:space="0" w:color="auto"/>
          </w:divBdr>
        </w:div>
        <w:div w:id="1501047424">
          <w:marLeft w:val="0"/>
          <w:marRight w:val="0"/>
          <w:marTop w:val="0"/>
          <w:marBottom w:val="0"/>
          <w:divBdr>
            <w:top w:val="none" w:sz="0" w:space="0" w:color="auto"/>
            <w:left w:val="none" w:sz="0" w:space="0" w:color="auto"/>
            <w:bottom w:val="none" w:sz="0" w:space="0" w:color="auto"/>
            <w:right w:val="none" w:sz="0" w:space="0" w:color="auto"/>
          </w:divBdr>
        </w:div>
        <w:div w:id="954138757">
          <w:marLeft w:val="0"/>
          <w:marRight w:val="0"/>
          <w:marTop w:val="0"/>
          <w:marBottom w:val="0"/>
          <w:divBdr>
            <w:top w:val="none" w:sz="0" w:space="0" w:color="auto"/>
            <w:left w:val="none" w:sz="0" w:space="0" w:color="auto"/>
            <w:bottom w:val="none" w:sz="0" w:space="0" w:color="auto"/>
            <w:right w:val="none" w:sz="0" w:space="0" w:color="auto"/>
          </w:divBdr>
        </w:div>
        <w:div w:id="1360543630">
          <w:marLeft w:val="0"/>
          <w:marRight w:val="0"/>
          <w:marTop w:val="0"/>
          <w:marBottom w:val="0"/>
          <w:divBdr>
            <w:top w:val="none" w:sz="0" w:space="0" w:color="auto"/>
            <w:left w:val="none" w:sz="0" w:space="0" w:color="auto"/>
            <w:bottom w:val="none" w:sz="0" w:space="0" w:color="auto"/>
            <w:right w:val="none" w:sz="0" w:space="0" w:color="auto"/>
          </w:divBdr>
        </w:div>
        <w:div w:id="913244739">
          <w:marLeft w:val="0"/>
          <w:marRight w:val="0"/>
          <w:marTop w:val="0"/>
          <w:marBottom w:val="0"/>
          <w:divBdr>
            <w:top w:val="none" w:sz="0" w:space="0" w:color="auto"/>
            <w:left w:val="none" w:sz="0" w:space="0" w:color="auto"/>
            <w:bottom w:val="none" w:sz="0" w:space="0" w:color="auto"/>
            <w:right w:val="none" w:sz="0" w:space="0" w:color="auto"/>
          </w:divBdr>
        </w:div>
        <w:div w:id="1560942979">
          <w:marLeft w:val="0"/>
          <w:marRight w:val="0"/>
          <w:marTop w:val="0"/>
          <w:marBottom w:val="0"/>
          <w:divBdr>
            <w:top w:val="none" w:sz="0" w:space="0" w:color="auto"/>
            <w:left w:val="none" w:sz="0" w:space="0" w:color="auto"/>
            <w:bottom w:val="none" w:sz="0" w:space="0" w:color="auto"/>
            <w:right w:val="none" w:sz="0" w:space="0" w:color="auto"/>
          </w:divBdr>
        </w:div>
        <w:div w:id="1365718532">
          <w:marLeft w:val="0"/>
          <w:marRight w:val="0"/>
          <w:marTop w:val="0"/>
          <w:marBottom w:val="0"/>
          <w:divBdr>
            <w:top w:val="none" w:sz="0" w:space="0" w:color="auto"/>
            <w:left w:val="none" w:sz="0" w:space="0" w:color="auto"/>
            <w:bottom w:val="none" w:sz="0" w:space="0" w:color="auto"/>
            <w:right w:val="none" w:sz="0" w:space="0" w:color="auto"/>
          </w:divBdr>
        </w:div>
        <w:div w:id="125857451">
          <w:marLeft w:val="0"/>
          <w:marRight w:val="0"/>
          <w:marTop w:val="0"/>
          <w:marBottom w:val="0"/>
          <w:divBdr>
            <w:top w:val="none" w:sz="0" w:space="0" w:color="auto"/>
            <w:left w:val="none" w:sz="0" w:space="0" w:color="auto"/>
            <w:bottom w:val="none" w:sz="0" w:space="0" w:color="auto"/>
            <w:right w:val="none" w:sz="0" w:space="0" w:color="auto"/>
          </w:divBdr>
        </w:div>
        <w:div w:id="2004121267">
          <w:marLeft w:val="0"/>
          <w:marRight w:val="0"/>
          <w:marTop w:val="0"/>
          <w:marBottom w:val="0"/>
          <w:divBdr>
            <w:top w:val="none" w:sz="0" w:space="0" w:color="auto"/>
            <w:left w:val="none" w:sz="0" w:space="0" w:color="auto"/>
            <w:bottom w:val="none" w:sz="0" w:space="0" w:color="auto"/>
            <w:right w:val="none" w:sz="0" w:space="0" w:color="auto"/>
          </w:divBdr>
        </w:div>
        <w:div w:id="865408098">
          <w:marLeft w:val="0"/>
          <w:marRight w:val="0"/>
          <w:marTop w:val="0"/>
          <w:marBottom w:val="0"/>
          <w:divBdr>
            <w:top w:val="none" w:sz="0" w:space="0" w:color="auto"/>
            <w:left w:val="none" w:sz="0" w:space="0" w:color="auto"/>
            <w:bottom w:val="none" w:sz="0" w:space="0" w:color="auto"/>
            <w:right w:val="none" w:sz="0" w:space="0" w:color="auto"/>
          </w:divBdr>
        </w:div>
        <w:div w:id="353307357">
          <w:marLeft w:val="0"/>
          <w:marRight w:val="0"/>
          <w:marTop w:val="0"/>
          <w:marBottom w:val="0"/>
          <w:divBdr>
            <w:top w:val="none" w:sz="0" w:space="0" w:color="auto"/>
            <w:left w:val="none" w:sz="0" w:space="0" w:color="auto"/>
            <w:bottom w:val="none" w:sz="0" w:space="0" w:color="auto"/>
            <w:right w:val="none" w:sz="0" w:space="0" w:color="auto"/>
          </w:divBdr>
        </w:div>
        <w:div w:id="51537319">
          <w:marLeft w:val="0"/>
          <w:marRight w:val="0"/>
          <w:marTop w:val="0"/>
          <w:marBottom w:val="0"/>
          <w:divBdr>
            <w:top w:val="none" w:sz="0" w:space="0" w:color="auto"/>
            <w:left w:val="none" w:sz="0" w:space="0" w:color="auto"/>
            <w:bottom w:val="none" w:sz="0" w:space="0" w:color="auto"/>
            <w:right w:val="none" w:sz="0" w:space="0" w:color="auto"/>
          </w:divBdr>
        </w:div>
        <w:div w:id="1588537358">
          <w:marLeft w:val="0"/>
          <w:marRight w:val="0"/>
          <w:marTop w:val="0"/>
          <w:marBottom w:val="0"/>
          <w:divBdr>
            <w:top w:val="none" w:sz="0" w:space="0" w:color="auto"/>
            <w:left w:val="none" w:sz="0" w:space="0" w:color="auto"/>
            <w:bottom w:val="none" w:sz="0" w:space="0" w:color="auto"/>
            <w:right w:val="none" w:sz="0" w:space="0" w:color="auto"/>
          </w:divBdr>
        </w:div>
        <w:div w:id="672341486">
          <w:marLeft w:val="0"/>
          <w:marRight w:val="0"/>
          <w:marTop w:val="0"/>
          <w:marBottom w:val="0"/>
          <w:divBdr>
            <w:top w:val="none" w:sz="0" w:space="0" w:color="auto"/>
            <w:left w:val="none" w:sz="0" w:space="0" w:color="auto"/>
            <w:bottom w:val="none" w:sz="0" w:space="0" w:color="auto"/>
            <w:right w:val="none" w:sz="0" w:space="0" w:color="auto"/>
          </w:divBdr>
        </w:div>
        <w:div w:id="595942254">
          <w:marLeft w:val="0"/>
          <w:marRight w:val="0"/>
          <w:marTop w:val="0"/>
          <w:marBottom w:val="0"/>
          <w:divBdr>
            <w:top w:val="none" w:sz="0" w:space="0" w:color="auto"/>
            <w:left w:val="none" w:sz="0" w:space="0" w:color="auto"/>
            <w:bottom w:val="none" w:sz="0" w:space="0" w:color="auto"/>
            <w:right w:val="none" w:sz="0" w:space="0" w:color="auto"/>
          </w:divBdr>
        </w:div>
        <w:div w:id="1695112848">
          <w:marLeft w:val="0"/>
          <w:marRight w:val="0"/>
          <w:marTop w:val="0"/>
          <w:marBottom w:val="0"/>
          <w:divBdr>
            <w:top w:val="none" w:sz="0" w:space="0" w:color="auto"/>
            <w:left w:val="none" w:sz="0" w:space="0" w:color="auto"/>
            <w:bottom w:val="none" w:sz="0" w:space="0" w:color="auto"/>
            <w:right w:val="none" w:sz="0" w:space="0" w:color="auto"/>
          </w:divBdr>
        </w:div>
        <w:div w:id="405300319">
          <w:marLeft w:val="0"/>
          <w:marRight w:val="0"/>
          <w:marTop w:val="0"/>
          <w:marBottom w:val="0"/>
          <w:divBdr>
            <w:top w:val="none" w:sz="0" w:space="0" w:color="auto"/>
            <w:left w:val="none" w:sz="0" w:space="0" w:color="auto"/>
            <w:bottom w:val="none" w:sz="0" w:space="0" w:color="auto"/>
            <w:right w:val="none" w:sz="0" w:space="0" w:color="auto"/>
          </w:divBdr>
        </w:div>
        <w:div w:id="546724088">
          <w:marLeft w:val="0"/>
          <w:marRight w:val="0"/>
          <w:marTop w:val="0"/>
          <w:marBottom w:val="0"/>
          <w:divBdr>
            <w:top w:val="none" w:sz="0" w:space="0" w:color="auto"/>
            <w:left w:val="none" w:sz="0" w:space="0" w:color="auto"/>
            <w:bottom w:val="none" w:sz="0" w:space="0" w:color="auto"/>
            <w:right w:val="none" w:sz="0" w:space="0" w:color="auto"/>
          </w:divBdr>
        </w:div>
        <w:div w:id="1813710591">
          <w:marLeft w:val="0"/>
          <w:marRight w:val="0"/>
          <w:marTop w:val="0"/>
          <w:marBottom w:val="0"/>
          <w:divBdr>
            <w:top w:val="none" w:sz="0" w:space="0" w:color="auto"/>
            <w:left w:val="none" w:sz="0" w:space="0" w:color="auto"/>
            <w:bottom w:val="none" w:sz="0" w:space="0" w:color="auto"/>
            <w:right w:val="none" w:sz="0" w:space="0" w:color="auto"/>
          </w:divBdr>
        </w:div>
        <w:div w:id="1127701658">
          <w:marLeft w:val="0"/>
          <w:marRight w:val="0"/>
          <w:marTop w:val="0"/>
          <w:marBottom w:val="0"/>
          <w:divBdr>
            <w:top w:val="none" w:sz="0" w:space="0" w:color="auto"/>
            <w:left w:val="none" w:sz="0" w:space="0" w:color="auto"/>
            <w:bottom w:val="none" w:sz="0" w:space="0" w:color="auto"/>
            <w:right w:val="none" w:sz="0" w:space="0" w:color="auto"/>
          </w:divBdr>
        </w:div>
        <w:div w:id="1715740301">
          <w:marLeft w:val="0"/>
          <w:marRight w:val="0"/>
          <w:marTop w:val="0"/>
          <w:marBottom w:val="0"/>
          <w:divBdr>
            <w:top w:val="none" w:sz="0" w:space="0" w:color="auto"/>
            <w:left w:val="none" w:sz="0" w:space="0" w:color="auto"/>
            <w:bottom w:val="none" w:sz="0" w:space="0" w:color="auto"/>
            <w:right w:val="none" w:sz="0" w:space="0" w:color="auto"/>
          </w:divBdr>
        </w:div>
        <w:div w:id="2143882167">
          <w:marLeft w:val="0"/>
          <w:marRight w:val="0"/>
          <w:marTop w:val="0"/>
          <w:marBottom w:val="0"/>
          <w:divBdr>
            <w:top w:val="none" w:sz="0" w:space="0" w:color="auto"/>
            <w:left w:val="none" w:sz="0" w:space="0" w:color="auto"/>
            <w:bottom w:val="none" w:sz="0" w:space="0" w:color="auto"/>
            <w:right w:val="none" w:sz="0" w:space="0" w:color="auto"/>
          </w:divBdr>
        </w:div>
        <w:div w:id="970329629">
          <w:marLeft w:val="0"/>
          <w:marRight w:val="0"/>
          <w:marTop w:val="0"/>
          <w:marBottom w:val="0"/>
          <w:divBdr>
            <w:top w:val="none" w:sz="0" w:space="0" w:color="auto"/>
            <w:left w:val="none" w:sz="0" w:space="0" w:color="auto"/>
            <w:bottom w:val="none" w:sz="0" w:space="0" w:color="auto"/>
            <w:right w:val="none" w:sz="0" w:space="0" w:color="auto"/>
          </w:divBdr>
        </w:div>
        <w:div w:id="937912089">
          <w:marLeft w:val="0"/>
          <w:marRight w:val="0"/>
          <w:marTop w:val="0"/>
          <w:marBottom w:val="0"/>
          <w:divBdr>
            <w:top w:val="none" w:sz="0" w:space="0" w:color="auto"/>
            <w:left w:val="none" w:sz="0" w:space="0" w:color="auto"/>
            <w:bottom w:val="none" w:sz="0" w:space="0" w:color="auto"/>
            <w:right w:val="none" w:sz="0" w:space="0" w:color="auto"/>
          </w:divBdr>
        </w:div>
        <w:div w:id="1248876">
          <w:marLeft w:val="0"/>
          <w:marRight w:val="0"/>
          <w:marTop w:val="0"/>
          <w:marBottom w:val="0"/>
          <w:divBdr>
            <w:top w:val="none" w:sz="0" w:space="0" w:color="auto"/>
            <w:left w:val="none" w:sz="0" w:space="0" w:color="auto"/>
            <w:bottom w:val="none" w:sz="0" w:space="0" w:color="auto"/>
            <w:right w:val="none" w:sz="0" w:space="0" w:color="auto"/>
          </w:divBdr>
        </w:div>
        <w:div w:id="1969967963">
          <w:marLeft w:val="0"/>
          <w:marRight w:val="0"/>
          <w:marTop w:val="0"/>
          <w:marBottom w:val="0"/>
          <w:divBdr>
            <w:top w:val="none" w:sz="0" w:space="0" w:color="auto"/>
            <w:left w:val="none" w:sz="0" w:space="0" w:color="auto"/>
            <w:bottom w:val="none" w:sz="0" w:space="0" w:color="auto"/>
            <w:right w:val="none" w:sz="0" w:space="0" w:color="auto"/>
          </w:divBdr>
        </w:div>
        <w:div w:id="1887831792">
          <w:marLeft w:val="0"/>
          <w:marRight w:val="0"/>
          <w:marTop w:val="0"/>
          <w:marBottom w:val="0"/>
          <w:divBdr>
            <w:top w:val="none" w:sz="0" w:space="0" w:color="auto"/>
            <w:left w:val="none" w:sz="0" w:space="0" w:color="auto"/>
            <w:bottom w:val="none" w:sz="0" w:space="0" w:color="auto"/>
            <w:right w:val="none" w:sz="0" w:space="0" w:color="auto"/>
          </w:divBdr>
        </w:div>
        <w:div w:id="1781340499">
          <w:marLeft w:val="0"/>
          <w:marRight w:val="0"/>
          <w:marTop w:val="0"/>
          <w:marBottom w:val="0"/>
          <w:divBdr>
            <w:top w:val="none" w:sz="0" w:space="0" w:color="auto"/>
            <w:left w:val="none" w:sz="0" w:space="0" w:color="auto"/>
            <w:bottom w:val="none" w:sz="0" w:space="0" w:color="auto"/>
            <w:right w:val="none" w:sz="0" w:space="0" w:color="auto"/>
          </w:divBdr>
        </w:div>
        <w:div w:id="671418873">
          <w:marLeft w:val="0"/>
          <w:marRight w:val="0"/>
          <w:marTop w:val="0"/>
          <w:marBottom w:val="0"/>
          <w:divBdr>
            <w:top w:val="none" w:sz="0" w:space="0" w:color="auto"/>
            <w:left w:val="none" w:sz="0" w:space="0" w:color="auto"/>
            <w:bottom w:val="none" w:sz="0" w:space="0" w:color="auto"/>
            <w:right w:val="none" w:sz="0" w:space="0" w:color="auto"/>
          </w:divBdr>
        </w:div>
        <w:div w:id="1343969807">
          <w:marLeft w:val="0"/>
          <w:marRight w:val="0"/>
          <w:marTop w:val="0"/>
          <w:marBottom w:val="0"/>
          <w:divBdr>
            <w:top w:val="none" w:sz="0" w:space="0" w:color="auto"/>
            <w:left w:val="none" w:sz="0" w:space="0" w:color="auto"/>
            <w:bottom w:val="none" w:sz="0" w:space="0" w:color="auto"/>
            <w:right w:val="none" w:sz="0" w:space="0" w:color="auto"/>
          </w:divBdr>
        </w:div>
        <w:div w:id="128131695">
          <w:marLeft w:val="0"/>
          <w:marRight w:val="0"/>
          <w:marTop w:val="0"/>
          <w:marBottom w:val="0"/>
          <w:divBdr>
            <w:top w:val="none" w:sz="0" w:space="0" w:color="auto"/>
            <w:left w:val="none" w:sz="0" w:space="0" w:color="auto"/>
            <w:bottom w:val="none" w:sz="0" w:space="0" w:color="auto"/>
            <w:right w:val="none" w:sz="0" w:space="0" w:color="auto"/>
          </w:divBdr>
        </w:div>
        <w:div w:id="22444967">
          <w:marLeft w:val="0"/>
          <w:marRight w:val="0"/>
          <w:marTop w:val="0"/>
          <w:marBottom w:val="0"/>
          <w:divBdr>
            <w:top w:val="none" w:sz="0" w:space="0" w:color="auto"/>
            <w:left w:val="none" w:sz="0" w:space="0" w:color="auto"/>
            <w:bottom w:val="none" w:sz="0" w:space="0" w:color="auto"/>
            <w:right w:val="none" w:sz="0" w:space="0" w:color="auto"/>
          </w:divBdr>
        </w:div>
        <w:div w:id="644315698">
          <w:marLeft w:val="0"/>
          <w:marRight w:val="0"/>
          <w:marTop w:val="0"/>
          <w:marBottom w:val="0"/>
          <w:divBdr>
            <w:top w:val="none" w:sz="0" w:space="0" w:color="auto"/>
            <w:left w:val="none" w:sz="0" w:space="0" w:color="auto"/>
            <w:bottom w:val="none" w:sz="0" w:space="0" w:color="auto"/>
            <w:right w:val="none" w:sz="0" w:space="0" w:color="auto"/>
          </w:divBdr>
        </w:div>
        <w:div w:id="925380873">
          <w:marLeft w:val="0"/>
          <w:marRight w:val="0"/>
          <w:marTop w:val="0"/>
          <w:marBottom w:val="0"/>
          <w:divBdr>
            <w:top w:val="none" w:sz="0" w:space="0" w:color="auto"/>
            <w:left w:val="none" w:sz="0" w:space="0" w:color="auto"/>
            <w:bottom w:val="none" w:sz="0" w:space="0" w:color="auto"/>
            <w:right w:val="none" w:sz="0" w:space="0" w:color="auto"/>
          </w:divBdr>
        </w:div>
        <w:div w:id="1180972871">
          <w:marLeft w:val="0"/>
          <w:marRight w:val="0"/>
          <w:marTop w:val="0"/>
          <w:marBottom w:val="0"/>
          <w:divBdr>
            <w:top w:val="none" w:sz="0" w:space="0" w:color="auto"/>
            <w:left w:val="none" w:sz="0" w:space="0" w:color="auto"/>
            <w:bottom w:val="none" w:sz="0" w:space="0" w:color="auto"/>
            <w:right w:val="none" w:sz="0" w:space="0" w:color="auto"/>
          </w:divBdr>
        </w:div>
        <w:div w:id="1513569450">
          <w:marLeft w:val="0"/>
          <w:marRight w:val="0"/>
          <w:marTop w:val="0"/>
          <w:marBottom w:val="0"/>
          <w:divBdr>
            <w:top w:val="none" w:sz="0" w:space="0" w:color="auto"/>
            <w:left w:val="none" w:sz="0" w:space="0" w:color="auto"/>
            <w:bottom w:val="none" w:sz="0" w:space="0" w:color="auto"/>
            <w:right w:val="none" w:sz="0" w:space="0" w:color="auto"/>
          </w:divBdr>
        </w:div>
        <w:div w:id="629437839">
          <w:marLeft w:val="0"/>
          <w:marRight w:val="0"/>
          <w:marTop w:val="0"/>
          <w:marBottom w:val="0"/>
          <w:divBdr>
            <w:top w:val="none" w:sz="0" w:space="0" w:color="auto"/>
            <w:left w:val="none" w:sz="0" w:space="0" w:color="auto"/>
            <w:bottom w:val="none" w:sz="0" w:space="0" w:color="auto"/>
            <w:right w:val="none" w:sz="0" w:space="0" w:color="auto"/>
          </w:divBdr>
        </w:div>
        <w:div w:id="1007177592">
          <w:marLeft w:val="0"/>
          <w:marRight w:val="0"/>
          <w:marTop w:val="0"/>
          <w:marBottom w:val="0"/>
          <w:divBdr>
            <w:top w:val="none" w:sz="0" w:space="0" w:color="auto"/>
            <w:left w:val="none" w:sz="0" w:space="0" w:color="auto"/>
            <w:bottom w:val="none" w:sz="0" w:space="0" w:color="auto"/>
            <w:right w:val="none" w:sz="0" w:space="0" w:color="auto"/>
          </w:divBdr>
        </w:div>
        <w:div w:id="670763719">
          <w:marLeft w:val="0"/>
          <w:marRight w:val="0"/>
          <w:marTop w:val="0"/>
          <w:marBottom w:val="0"/>
          <w:divBdr>
            <w:top w:val="none" w:sz="0" w:space="0" w:color="auto"/>
            <w:left w:val="none" w:sz="0" w:space="0" w:color="auto"/>
            <w:bottom w:val="none" w:sz="0" w:space="0" w:color="auto"/>
            <w:right w:val="none" w:sz="0" w:space="0" w:color="auto"/>
          </w:divBdr>
        </w:div>
        <w:div w:id="1595749751">
          <w:marLeft w:val="0"/>
          <w:marRight w:val="0"/>
          <w:marTop w:val="0"/>
          <w:marBottom w:val="0"/>
          <w:divBdr>
            <w:top w:val="none" w:sz="0" w:space="0" w:color="auto"/>
            <w:left w:val="none" w:sz="0" w:space="0" w:color="auto"/>
            <w:bottom w:val="none" w:sz="0" w:space="0" w:color="auto"/>
            <w:right w:val="none" w:sz="0" w:space="0" w:color="auto"/>
          </w:divBdr>
        </w:div>
        <w:div w:id="1792166329">
          <w:marLeft w:val="0"/>
          <w:marRight w:val="0"/>
          <w:marTop w:val="0"/>
          <w:marBottom w:val="0"/>
          <w:divBdr>
            <w:top w:val="none" w:sz="0" w:space="0" w:color="auto"/>
            <w:left w:val="none" w:sz="0" w:space="0" w:color="auto"/>
            <w:bottom w:val="none" w:sz="0" w:space="0" w:color="auto"/>
            <w:right w:val="none" w:sz="0" w:space="0" w:color="auto"/>
          </w:divBdr>
        </w:div>
        <w:div w:id="902133019">
          <w:marLeft w:val="0"/>
          <w:marRight w:val="0"/>
          <w:marTop w:val="0"/>
          <w:marBottom w:val="0"/>
          <w:divBdr>
            <w:top w:val="none" w:sz="0" w:space="0" w:color="auto"/>
            <w:left w:val="none" w:sz="0" w:space="0" w:color="auto"/>
            <w:bottom w:val="none" w:sz="0" w:space="0" w:color="auto"/>
            <w:right w:val="none" w:sz="0" w:space="0" w:color="auto"/>
          </w:divBdr>
        </w:div>
        <w:div w:id="622152524">
          <w:marLeft w:val="0"/>
          <w:marRight w:val="0"/>
          <w:marTop w:val="0"/>
          <w:marBottom w:val="0"/>
          <w:divBdr>
            <w:top w:val="none" w:sz="0" w:space="0" w:color="auto"/>
            <w:left w:val="none" w:sz="0" w:space="0" w:color="auto"/>
            <w:bottom w:val="none" w:sz="0" w:space="0" w:color="auto"/>
            <w:right w:val="none" w:sz="0" w:space="0" w:color="auto"/>
          </w:divBdr>
        </w:div>
        <w:div w:id="615988995">
          <w:marLeft w:val="0"/>
          <w:marRight w:val="0"/>
          <w:marTop w:val="0"/>
          <w:marBottom w:val="0"/>
          <w:divBdr>
            <w:top w:val="none" w:sz="0" w:space="0" w:color="auto"/>
            <w:left w:val="none" w:sz="0" w:space="0" w:color="auto"/>
            <w:bottom w:val="none" w:sz="0" w:space="0" w:color="auto"/>
            <w:right w:val="none" w:sz="0" w:space="0" w:color="auto"/>
          </w:divBdr>
        </w:div>
        <w:div w:id="521629061">
          <w:marLeft w:val="0"/>
          <w:marRight w:val="0"/>
          <w:marTop w:val="0"/>
          <w:marBottom w:val="0"/>
          <w:divBdr>
            <w:top w:val="none" w:sz="0" w:space="0" w:color="auto"/>
            <w:left w:val="none" w:sz="0" w:space="0" w:color="auto"/>
            <w:bottom w:val="none" w:sz="0" w:space="0" w:color="auto"/>
            <w:right w:val="none" w:sz="0" w:space="0" w:color="auto"/>
          </w:divBdr>
        </w:div>
        <w:div w:id="1381827390">
          <w:marLeft w:val="0"/>
          <w:marRight w:val="0"/>
          <w:marTop w:val="0"/>
          <w:marBottom w:val="0"/>
          <w:divBdr>
            <w:top w:val="none" w:sz="0" w:space="0" w:color="auto"/>
            <w:left w:val="none" w:sz="0" w:space="0" w:color="auto"/>
            <w:bottom w:val="none" w:sz="0" w:space="0" w:color="auto"/>
            <w:right w:val="none" w:sz="0" w:space="0" w:color="auto"/>
          </w:divBdr>
        </w:div>
        <w:div w:id="2024043717">
          <w:marLeft w:val="0"/>
          <w:marRight w:val="0"/>
          <w:marTop w:val="0"/>
          <w:marBottom w:val="0"/>
          <w:divBdr>
            <w:top w:val="none" w:sz="0" w:space="0" w:color="auto"/>
            <w:left w:val="none" w:sz="0" w:space="0" w:color="auto"/>
            <w:bottom w:val="none" w:sz="0" w:space="0" w:color="auto"/>
            <w:right w:val="none" w:sz="0" w:space="0" w:color="auto"/>
          </w:divBdr>
        </w:div>
        <w:div w:id="1948613005">
          <w:marLeft w:val="0"/>
          <w:marRight w:val="0"/>
          <w:marTop w:val="0"/>
          <w:marBottom w:val="0"/>
          <w:divBdr>
            <w:top w:val="none" w:sz="0" w:space="0" w:color="auto"/>
            <w:left w:val="none" w:sz="0" w:space="0" w:color="auto"/>
            <w:bottom w:val="none" w:sz="0" w:space="0" w:color="auto"/>
            <w:right w:val="none" w:sz="0" w:space="0" w:color="auto"/>
          </w:divBdr>
        </w:div>
        <w:div w:id="1142499131">
          <w:marLeft w:val="0"/>
          <w:marRight w:val="0"/>
          <w:marTop w:val="0"/>
          <w:marBottom w:val="0"/>
          <w:divBdr>
            <w:top w:val="none" w:sz="0" w:space="0" w:color="auto"/>
            <w:left w:val="none" w:sz="0" w:space="0" w:color="auto"/>
            <w:bottom w:val="none" w:sz="0" w:space="0" w:color="auto"/>
            <w:right w:val="none" w:sz="0" w:space="0" w:color="auto"/>
          </w:divBdr>
        </w:div>
        <w:div w:id="1774282953">
          <w:marLeft w:val="0"/>
          <w:marRight w:val="0"/>
          <w:marTop w:val="0"/>
          <w:marBottom w:val="0"/>
          <w:divBdr>
            <w:top w:val="none" w:sz="0" w:space="0" w:color="auto"/>
            <w:left w:val="none" w:sz="0" w:space="0" w:color="auto"/>
            <w:bottom w:val="none" w:sz="0" w:space="0" w:color="auto"/>
            <w:right w:val="none" w:sz="0" w:space="0" w:color="auto"/>
          </w:divBdr>
        </w:div>
        <w:div w:id="538933580">
          <w:marLeft w:val="0"/>
          <w:marRight w:val="0"/>
          <w:marTop w:val="0"/>
          <w:marBottom w:val="0"/>
          <w:divBdr>
            <w:top w:val="none" w:sz="0" w:space="0" w:color="auto"/>
            <w:left w:val="none" w:sz="0" w:space="0" w:color="auto"/>
            <w:bottom w:val="none" w:sz="0" w:space="0" w:color="auto"/>
            <w:right w:val="none" w:sz="0" w:space="0" w:color="auto"/>
          </w:divBdr>
        </w:div>
        <w:div w:id="643923767">
          <w:marLeft w:val="0"/>
          <w:marRight w:val="0"/>
          <w:marTop w:val="0"/>
          <w:marBottom w:val="0"/>
          <w:divBdr>
            <w:top w:val="none" w:sz="0" w:space="0" w:color="auto"/>
            <w:left w:val="none" w:sz="0" w:space="0" w:color="auto"/>
            <w:bottom w:val="none" w:sz="0" w:space="0" w:color="auto"/>
            <w:right w:val="none" w:sz="0" w:space="0" w:color="auto"/>
          </w:divBdr>
        </w:div>
        <w:div w:id="1723674512">
          <w:marLeft w:val="0"/>
          <w:marRight w:val="0"/>
          <w:marTop w:val="0"/>
          <w:marBottom w:val="0"/>
          <w:divBdr>
            <w:top w:val="none" w:sz="0" w:space="0" w:color="auto"/>
            <w:left w:val="none" w:sz="0" w:space="0" w:color="auto"/>
            <w:bottom w:val="none" w:sz="0" w:space="0" w:color="auto"/>
            <w:right w:val="none" w:sz="0" w:space="0" w:color="auto"/>
          </w:divBdr>
        </w:div>
        <w:div w:id="956332668">
          <w:marLeft w:val="0"/>
          <w:marRight w:val="0"/>
          <w:marTop w:val="0"/>
          <w:marBottom w:val="0"/>
          <w:divBdr>
            <w:top w:val="none" w:sz="0" w:space="0" w:color="auto"/>
            <w:left w:val="none" w:sz="0" w:space="0" w:color="auto"/>
            <w:bottom w:val="none" w:sz="0" w:space="0" w:color="auto"/>
            <w:right w:val="none" w:sz="0" w:space="0" w:color="auto"/>
          </w:divBdr>
        </w:div>
        <w:div w:id="1617911687">
          <w:marLeft w:val="0"/>
          <w:marRight w:val="0"/>
          <w:marTop w:val="0"/>
          <w:marBottom w:val="0"/>
          <w:divBdr>
            <w:top w:val="none" w:sz="0" w:space="0" w:color="auto"/>
            <w:left w:val="none" w:sz="0" w:space="0" w:color="auto"/>
            <w:bottom w:val="none" w:sz="0" w:space="0" w:color="auto"/>
            <w:right w:val="none" w:sz="0" w:space="0" w:color="auto"/>
          </w:divBdr>
        </w:div>
        <w:div w:id="2017071360">
          <w:marLeft w:val="0"/>
          <w:marRight w:val="0"/>
          <w:marTop w:val="0"/>
          <w:marBottom w:val="0"/>
          <w:divBdr>
            <w:top w:val="none" w:sz="0" w:space="0" w:color="auto"/>
            <w:left w:val="none" w:sz="0" w:space="0" w:color="auto"/>
            <w:bottom w:val="none" w:sz="0" w:space="0" w:color="auto"/>
            <w:right w:val="none" w:sz="0" w:space="0" w:color="auto"/>
          </w:divBdr>
        </w:div>
        <w:div w:id="1258245428">
          <w:marLeft w:val="0"/>
          <w:marRight w:val="0"/>
          <w:marTop w:val="0"/>
          <w:marBottom w:val="0"/>
          <w:divBdr>
            <w:top w:val="none" w:sz="0" w:space="0" w:color="auto"/>
            <w:left w:val="none" w:sz="0" w:space="0" w:color="auto"/>
            <w:bottom w:val="none" w:sz="0" w:space="0" w:color="auto"/>
            <w:right w:val="none" w:sz="0" w:space="0" w:color="auto"/>
          </w:divBdr>
        </w:div>
        <w:div w:id="153498051">
          <w:marLeft w:val="0"/>
          <w:marRight w:val="0"/>
          <w:marTop w:val="0"/>
          <w:marBottom w:val="0"/>
          <w:divBdr>
            <w:top w:val="none" w:sz="0" w:space="0" w:color="auto"/>
            <w:left w:val="none" w:sz="0" w:space="0" w:color="auto"/>
            <w:bottom w:val="none" w:sz="0" w:space="0" w:color="auto"/>
            <w:right w:val="none" w:sz="0" w:space="0" w:color="auto"/>
          </w:divBdr>
        </w:div>
        <w:div w:id="1455363552">
          <w:marLeft w:val="0"/>
          <w:marRight w:val="0"/>
          <w:marTop w:val="0"/>
          <w:marBottom w:val="0"/>
          <w:divBdr>
            <w:top w:val="none" w:sz="0" w:space="0" w:color="auto"/>
            <w:left w:val="none" w:sz="0" w:space="0" w:color="auto"/>
            <w:bottom w:val="none" w:sz="0" w:space="0" w:color="auto"/>
            <w:right w:val="none" w:sz="0" w:space="0" w:color="auto"/>
          </w:divBdr>
        </w:div>
        <w:div w:id="1823621248">
          <w:marLeft w:val="0"/>
          <w:marRight w:val="0"/>
          <w:marTop w:val="0"/>
          <w:marBottom w:val="0"/>
          <w:divBdr>
            <w:top w:val="none" w:sz="0" w:space="0" w:color="auto"/>
            <w:left w:val="none" w:sz="0" w:space="0" w:color="auto"/>
            <w:bottom w:val="none" w:sz="0" w:space="0" w:color="auto"/>
            <w:right w:val="none" w:sz="0" w:space="0" w:color="auto"/>
          </w:divBdr>
        </w:div>
        <w:div w:id="1481463358">
          <w:marLeft w:val="0"/>
          <w:marRight w:val="0"/>
          <w:marTop w:val="0"/>
          <w:marBottom w:val="0"/>
          <w:divBdr>
            <w:top w:val="none" w:sz="0" w:space="0" w:color="auto"/>
            <w:left w:val="none" w:sz="0" w:space="0" w:color="auto"/>
            <w:bottom w:val="none" w:sz="0" w:space="0" w:color="auto"/>
            <w:right w:val="none" w:sz="0" w:space="0" w:color="auto"/>
          </w:divBdr>
        </w:div>
        <w:div w:id="882906681">
          <w:marLeft w:val="0"/>
          <w:marRight w:val="0"/>
          <w:marTop w:val="0"/>
          <w:marBottom w:val="0"/>
          <w:divBdr>
            <w:top w:val="none" w:sz="0" w:space="0" w:color="auto"/>
            <w:left w:val="none" w:sz="0" w:space="0" w:color="auto"/>
            <w:bottom w:val="none" w:sz="0" w:space="0" w:color="auto"/>
            <w:right w:val="none" w:sz="0" w:space="0" w:color="auto"/>
          </w:divBdr>
        </w:div>
        <w:div w:id="1276981424">
          <w:marLeft w:val="0"/>
          <w:marRight w:val="0"/>
          <w:marTop w:val="0"/>
          <w:marBottom w:val="0"/>
          <w:divBdr>
            <w:top w:val="none" w:sz="0" w:space="0" w:color="auto"/>
            <w:left w:val="none" w:sz="0" w:space="0" w:color="auto"/>
            <w:bottom w:val="none" w:sz="0" w:space="0" w:color="auto"/>
            <w:right w:val="none" w:sz="0" w:space="0" w:color="auto"/>
          </w:divBdr>
        </w:div>
        <w:div w:id="469445105">
          <w:marLeft w:val="0"/>
          <w:marRight w:val="0"/>
          <w:marTop w:val="0"/>
          <w:marBottom w:val="0"/>
          <w:divBdr>
            <w:top w:val="none" w:sz="0" w:space="0" w:color="auto"/>
            <w:left w:val="none" w:sz="0" w:space="0" w:color="auto"/>
            <w:bottom w:val="none" w:sz="0" w:space="0" w:color="auto"/>
            <w:right w:val="none" w:sz="0" w:space="0" w:color="auto"/>
          </w:divBdr>
        </w:div>
        <w:div w:id="830603819">
          <w:marLeft w:val="0"/>
          <w:marRight w:val="0"/>
          <w:marTop w:val="0"/>
          <w:marBottom w:val="0"/>
          <w:divBdr>
            <w:top w:val="none" w:sz="0" w:space="0" w:color="auto"/>
            <w:left w:val="none" w:sz="0" w:space="0" w:color="auto"/>
            <w:bottom w:val="none" w:sz="0" w:space="0" w:color="auto"/>
            <w:right w:val="none" w:sz="0" w:space="0" w:color="auto"/>
          </w:divBdr>
        </w:div>
        <w:div w:id="259217600">
          <w:marLeft w:val="0"/>
          <w:marRight w:val="0"/>
          <w:marTop w:val="0"/>
          <w:marBottom w:val="0"/>
          <w:divBdr>
            <w:top w:val="none" w:sz="0" w:space="0" w:color="auto"/>
            <w:left w:val="none" w:sz="0" w:space="0" w:color="auto"/>
            <w:bottom w:val="none" w:sz="0" w:space="0" w:color="auto"/>
            <w:right w:val="none" w:sz="0" w:space="0" w:color="auto"/>
          </w:divBdr>
        </w:div>
        <w:div w:id="753013961">
          <w:marLeft w:val="0"/>
          <w:marRight w:val="0"/>
          <w:marTop w:val="0"/>
          <w:marBottom w:val="0"/>
          <w:divBdr>
            <w:top w:val="none" w:sz="0" w:space="0" w:color="auto"/>
            <w:left w:val="none" w:sz="0" w:space="0" w:color="auto"/>
            <w:bottom w:val="none" w:sz="0" w:space="0" w:color="auto"/>
            <w:right w:val="none" w:sz="0" w:space="0" w:color="auto"/>
          </w:divBdr>
        </w:div>
        <w:div w:id="811556491">
          <w:marLeft w:val="0"/>
          <w:marRight w:val="0"/>
          <w:marTop w:val="0"/>
          <w:marBottom w:val="0"/>
          <w:divBdr>
            <w:top w:val="none" w:sz="0" w:space="0" w:color="auto"/>
            <w:left w:val="none" w:sz="0" w:space="0" w:color="auto"/>
            <w:bottom w:val="none" w:sz="0" w:space="0" w:color="auto"/>
            <w:right w:val="none" w:sz="0" w:space="0" w:color="auto"/>
          </w:divBdr>
        </w:div>
        <w:div w:id="159345488">
          <w:marLeft w:val="0"/>
          <w:marRight w:val="0"/>
          <w:marTop w:val="0"/>
          <w:marBottom w:val="0"/>
          <w:divBdr>
            <w:top w:val="none" w:sz="0" w:space="0" w:color="auto"/>
            <w:left w:val="none" w:sz="0" w:space="0" w:color="auto"/>
            <w:bottom w:val="none" w:sz="0" w:space="0" w:color="auto"/>
            <w:right w:val="none" w:sz="0" w:space="0" w:color="auto"/>
          </w:divBdr>
        </w:div>
        <w:div w:id="1093816288">
          <w:marLeft w:val="0"/>
          <w:marRight w:val="0"/>
          <w:marTop w:val="0"/>
          <w:marBottom w:val="0"/>
          <w:divBdr>
            <w:top w:val="none" w:sz="0" w:space="0" w:color="auto"/>
            <w:left w:val="none" w:sz="0" w:space="0" w:color="auto"/>
            <w:bottom w:val="none" w:sz="0" w:space="0" w:color="auto"/>
            <w:right w:val="none" w:sz="0" w:space="0" w:color="auto"/>
          </w:divBdr>
        </w:div>
        <w:div w:id="1488401877">
          <w:marLeft w:val="0"/>
          <w:marRight w:val="0"/>
          <w:marTop w:val="0"/>
          <w:marBottom w:val="0"/>
          <w:divBdr>
            <w:top w:val="none" w:sz="0" w:space="0" w:color="auto"/>
            <w:left w:val="none" w:sz="0" w:space="0" w:color="auto"/>
            <w:bottom w:val="none" w:sz="0" w:space="0" w:color="auto"/>
            <w:right w:val="none" w:sz="0" w:space="0" w:color="auto"/>
          </w:divBdr>
        </w:div>
        <w:div w:id="1335910547">
          <w:marLeft w:val="0"/>
          <w:marRight w:val="0"/>
          <w:marTop w:val="0"/>
          <w:marBottom w:val="0"/>
          <w:divBdr>
            <w:top w:val="none" w:sz="0" w:space="0" w:color="auto"/>
            <w:left w:val="none" w:sz="0" w:space="0" w:color="auto"/>
            <w:bottom w:val="none" w:sz="0" w:space="0" w:color="auto"/>
            <w:right w:val="none" w:sz="0" w:space="0" w:color="auto"/>
          </w:divBdr>
        </w:div>
        <w:div w:id="1109398187">
          <w:marLeft w:val="0"/>
          <w:marRight w:val="0"/>
          <w:marTop w:val="0"/>
          <w:marBottom w:val="0"/>
          <w:divBdr>
            <w:top w:val="none" w:sz="0" w:space="0" w:color="auto"/>
            <w:left w:val="none" w:sz="0" w:space="0" w:color="auto"/>
            <w:bottom w:val="none" w:sz="0" w:space="0" w:color="auto"/>
            <w:right w:val="none" w:sz="0" w:space="0" w:color="auto"/>
          </w:divBdr>
        </w:div>
        <w:div w:id="174270541">
          <w:marLeft w:val="0"/>
          <w:marRight w:val="0"/>
          <w:marTop w:val="0"/>
          <w:marBottom w:val="0"/>
          <w:divBdr>
            <w:top w:val="none" w:sz="0" w:space="0" w:color="auto"/>
            <w:left w:val="none" w:sz="0" w:space="0" w:color="auto"/>
            <w:bottom w:val="none" w:sz="0" w:space="0" w:color="auto"/>
            <w:right w:val="none" w:sz="0" w:space="0" w:color="auto"/>
          </w:divBdr>
        </w:div>
        <w:div w:id="313606998">
          <w:marLeft w:val="0"/>
          <w:marRight w:val="0"/>
          <w:marTop w:val="0"/>
          <w:marBottom w:val="0"/>
          <w:divBdr>
            <w:top w:val="none" w:sz="0" w:space="0" w:color="auto"/>
            <w:left w:val="none" w:sz="0" w:space="0" w:color="auto"/>
            <w:bottom w:val="none" w:sz="0" w:space="0" w:color="auto"/>
            <w:right w:val="none" w:sz="0" w:space="0" w:color="auto"/>
          </w:divBdr>
        </w:div>
        <w:div w:id="429200860">
          <w:marLeft w:val="0"/>
          <w:marRight w:val="0"/>
          <w:marTop w:val="0"/>
          <w:marBottom w:val="0"/>
          <w:divBdr>
            <w:top w:val="none" w:sz="0" w:space="0" w:color="auto"/>
            <w:left w:val="none" w:sz="0" w:space="0" w:color="auto"/>
            <w:bottom w:val="none" w:sz="0" w:space="0" w:color="auto"/>
            <w:right w:val="none" w:sz="0" w:space="0" w:color="auto"/>
          </w:divBdr>
        </w:div>
        <w:div w:id="391466268">
          <w:marLeft w:val="0"/>
          <w:marRight w:val="0"/>
          <w:marTop w:val="0"/>
          <w:marBottom w:val="0"/>
          <w:divBdr>
            <w:top w:val="none" w:sz="0" w:space="0" w:color="auto"/>
            <w:left w:val="none" w:sz="0" w:space="0" w:color="auto"/>
            <w:bottom w:val="none" w:sz="0" w:space="0" w:color="auto"/>
            <w:right w:val="none" w:sz="0" w:space="0" w:color="auto"/>
          </w:divBdr>
        </w:div>
        <w:div w:id="1677148481">
          <w:marLeft w:val="0"/>
          <w:marRight w:val="0"/>
          <w:marTop w:val="0"/>
          <w:marBottom w:val="0"/>
          <w:divBdr>
            <w:top w:val="none" w:sz="0" w:space="0" w:color="auto"/>
            <w:left w:val="none" w:sz="0" w:space="0" w:color="auto"/>
            <w:bottom w:val="none" w:sz="0" w:space="0" w:color="auto"/>
            <w:right w:val="none" w:sz="0" w:space="0" w:color="auto"/>
          </w:divBdr>
        </w:div>
        <w:div w:id="1617567676">
          <w:marLeft w:val="0"/>
          <w:marRight w:val="0"/>
          <w:marTop w:val="0"/>
          <w:marBottom w:val="0"/>
          <w:divBdr>
            <w:top w:val="none" w:sz="0" w:space="0" w:color="auto"/>
            <w:left w:val="none" w:sz="0" w:space="0" w:color="auto"/>
            <w:bottom w:val="none" w:sz="0" w:space="0" w:color="auto"/>
            <w:right w:val="none" w:sz="0" w:space="0" w:color="auto"/>
          </w:divBdr>
        </w:div>
        <w:div w:id="1773889786">
          <w:marLeft w:val="0"/>
          <w:marRight w:val="0"/>
          <w:marTop w:val="0"/>
          <w:marBottom w:val="0"/>
          <w:divBdr>
            <w:top w:val="none" w:sz="0" w:space="0" w:color="auto"/>
            <w:left w:val="none" w:sz="0" w:space="0" w:color="auto"/>
            <w:bottom w:val="none" w:sz="0" w:space="0" w:color="auto"/>
            <w:right w:val="none" w:sz="0" w:space="0" w:color="auto"/>
          </w:divBdr>
        </w:div>
        <w:div w:id="592784765">
          <w:marLeft w:val="0"/>
          <w:marRight w:val="0"/>
          <w:marTop w:val="0"/>
          <w:marBottom w:val="0"/>
          <w:divBdr>
            <w:top w:val="none" w:sz="0" w:space="0" w:color="auto"/>
            <w:left w:val="none" w:sz="0" w:space="0" w:color="auto"/>
            <w:bottom w:val="none" w:sz="0" w:space="0" w:color="auto"/>
            <w:right w:val="none" w:sz="0" w:space="0" w:color="auto"/>
          </w:divBdr>
        </w:div>
        <w:div w:id="58766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CB706-B640-4301-80E0-BD44AF282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7583</Words>
  <Characters>43229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Нещётная Анастасия Викторовна</dc:creator>
  <cp:keywords/>
  <dc:description/>
  <cp:lastModifiedBy>Нещётная Анастасия Викторовна</cp:lastModifiedBy>
  <cp:revision>6</cp:revision>
  <dcterms:created xsi:type="dcterms:W3CDTF">2025-06-14T04:35:00Z</dcterms:created>
  <dcterms:modified xsi:type="dcterms:W3CDTF">2025-09-01T04:57:00Z</dcterms:modified>
</cp:coreProperties>
</file>